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7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521" w:type="dxa"/>
            <w:tcBorders>
              <w:top w:val="nil"/>
              <w:left w:val="nil"/>
              <w:bottom w:val="nil"/>
              <w:right w:val="nil"/>
            </w:tcBorders>
          </w:tcPr>
          <w:p>
            <w:pPr>
              <w:suppressAutoHyphens/>
              <w:ind w:left="-240"/>
              <w:contextualSpacing/>
              <w:jc w:val="center"/>
            </w:pPr>
            <w:bookmarkStart w:id="0" w:name="_Toc268263722"/>
            <w:bookmarkStart w:id="1" w:name="_Toc315701060"/>
            <w:bookmarkStart w:id="2" w:name="_Toc268084563"/>
            <w:bookmarkStart w:id="3" w:name="_Toc268263619"/>
            <w:bookmarkStart w:id="4" w:name="_Toc256375541"/>
            <w:bookmarkStart w:id="5" w:name="_Toc256429330"/>
            <w:bookmarkStart w:id="6" w:name="_Toc263243175"/>
            <w:r>
              <w:pict>
                <v:group id="_x0000_s1032" o:spid="_x0000_s1032" o:spt="203" style="height:45pt;width:54.15pt;" coordorigin="-5,0" coordsize="1197,1080" editas="canvas">
                  <o:lock v:ext="edit"/>
                  <v:shape id="_x0000_s1033" o:spid="_x0000_s1033" o:spt="75" type="#_x0000_t75" style="position:absolute;left:-5;top:0;height:1080;width:1197;" filled="f" o:preferrelative="f" stroked="f" coordsize="21600,21600">
                    <v:fill on="f" focussize="0,0"/>
                    <v:stroke on="f" joinstyle="miter"/>
                    <v:imagedata o:title=""/>
                    <o:lock v:ext="edit" text="t" aspectratio="t"/>
                  </v:shape>
                  <v:shape id="_x0000_s1034" o:spid="_x0000_s1034" o:spt="100" style="position:absolute;left:-5;top:0;height:1080;width:1026;" fillcolor="#3F486E" filled="t" stroked="f" coordsize="187,187" adj=",," path="m59,26hdc52,10,52,10,52,10c22,25,1,56,0,91c17,91,17,91,17,91c18,63,35,38,59,26xm96,24c96,32,96,32,96,32c117,33,136,44,146,61c153,57,153,57,153,57c141,38,120,25,96,24xm94,94c131,116,131,116,131,116c131,116,131,116,131,116c139,122,139,122,139,122c139,122,139,122,139,122c139,122,139,122,139,122c139,121,139,121,139,121c143,116,145,110,146,103c155,103,155,103,155,103c150,133,125,156,94,156c94,156,94,156,94,156c94,147,94,147,94,147c100,147,105,146,110,144c111,144,112,144,113,144c113,143,113,143,113,143c113,143,113,143,113,143c114,143,114,143,115,143c108,127,108,127,108,127c105,128,103,129,101,129c100,129,100,129,99,129c99,129,98,129,98,130c92,130,85,129,79,127c67,121,59,110,58,98c40,98,40,98,40,98c41,107,44,115,49,123c42,127,42,127,42,127c35,118,32,106,32,94c32,75,40,58,54,46c67,61,67,61,67,61c74,56,82,52,91,52c91,17,91,17,91,17c92,17,93,17,94,17c122,17,146,32,159,55c174,46,174,46,174,46c158,19,128,0,94,0c80,0,68,3,56,8c64,23,64,23,64,23c65,23,68,22,70,21c72,28,72,28,72,28c44,37,24,63,24,94c24,95,24,95,24,96c0,96,0,96,0,96c1,125,15,151,36,167c51,148,51,148,51,148c63,158,77,163,94,163c129,163,158,137,162,103c169,103,169,103,169,103c165,141,133,170,94,170c78,170,63,165,51,157c40,170,40,170,40,170c55,181,74,187,94,187c145,187,187,145,187,94hal94,94hdxm155,62c155,62,155,62,155,62c155,62,155,62,155,62xe">
                    <v:path arrowok="t" o:connecttype="segments"/>
                    <v:fill on="t" focussize="0,0"/>
                    <v:stroke on="f" joinstyle="round"/>
                    <v:imagedata o:title=""/>
                    <o:lock v:ext="edit"/>
                  </v:shape>
                  <w10:wrap type="none"/>
                  <w10:anchorlock/>
                </v:group>
              </w:pict>
            </w:r>
          </w:p>
        </w:tc>
        <w:tc>
          <w:tcPr>
            <w:tcW w:w="7145" w:type="dxa"/>
            <w:tcBorders>
              <w:top w:val="nil"/>
              <w:left w:val="nil"/>
              <w:bottom w:val="nil"/>
              <w:right w:val="nil"/>
            </w:tcBorders>
            <w:vAlign w:val="center"/>
          </w:tcPr>
          <w:p>
            <w:pPr>
              <w:suppressAutoHyphens/>
              <w:spacing w:after="0" w:line="240" w:lineRule="auto"/>
              <w:ind w:left="-240"/>
              <w:contextualSpacing/>
              <w:jc w:val="center"/>
              <w:rPr>
                <w:rFonts w:eastAsia="Times New Roman"/>
                <w:b/>
                <w:kern w:val="0"/>
                <w:sz w:val="32"/>
                <w:szCs w:val="32"/>
                <w:lang w:eastAsia="ru-RU"/>
              </w:rPr>
            </w:pPr>
            <w:r>
              <w:rPr>
                <w:rFonts w:eastAsia="Times New Roman"/>
                <w:b/>
                <w:kern w:val="0"/>
                <w:sz w:val="32"/>
                <w:szCs w:val="32"/>
                <w:lang w:eastAsia="ru-RU"/>
              </w:rPr>
              <w:t>ОБЩЕСТВО С ОГРАНИЧЕННОЙ ОТВЕТСТВЕННОСТЬЮ</w:t>
            </w:r>
          </w:p>
          <w:p>
            <w:pPr>
              <w:suppressAutoHyphens/>
              <w:spacing w:after="0" w:line="240" w:lineRule="auto"/>
              <w:ind w:left="-240"/>
              <w:contextualSpacing/>
              <w:jc w:val="center"/>
              <w:rPr>
                <w:rFonts w:ascii="Arial Black" w:hAnsi="Arial Black"/>
              </w:rPr>
            </w:pPr>
            <w:r>
              <w:rPr>
                <w:rFonts w:eastAsia="Times New Roman"/>
                <w:b/>
                <w:kern w:val="0"/>
                <w:sz w:val="32"/>
                <w:szCs w:val="32"/>
                <w:lang w:eastAsia="ru-RU"/>
              </w:rPr>
              <w:t>«ЦЕНТР КАРТОГРАФИИ И ТЕРРИТОРИАЛЬНОГО ПЛАНИРОВАНИЯ»</w:t>
            </w:r>
          </w:p>
        </w:tc>
      </w:tr>
    </w:tbl>
    <w:p>
      <w:pPr>
        <w:suppressAutoHyphens/>
        <w:spacing w:after="0" w:line="240" w:lineRule="auto"/>
        <w:ind w:left="-240"/>
        <w:contextualSpacing/>
        <w:jc w:val="center"/>
        <w:rPr>
          <w:rFonts w:eastAsia="Times New Roman"/>
          <w:kern w:val="0"/>
          <w:sz w:val="20"/>
          <w:szCs w:val="20"/>
          <w:lang w:eastAsia="ru-RU"/>
        </w:rPr>
      </w:pPr>
      <w:r>
        <w:rPr>
          <w:rFonts w:eastAsia="Times New Roman"/>
          <w:kern w:val="0"/>
          <w:sz w:val="20"/>
          <w:szCs w:val="20"/>
          <w:lang w:eastAsia="ru-RU"/>
        </w:rPr>
        <w:t xml:space="preserve">305047, г. Курск, ул. Росинка, д.6, помещ.2  </w:t>
      </w:r>
    </w:p>
    <w:p>
      <w:pPr>
        <w:suppressAutoHyphens/>
        <w:spacing w:after="0" w:line="240" w:lineRule="auto"/>
        <w:ind w:left="-240"/>
        <w:contextualSpacing/>
        <w:jc w:val="center"/>
        <w:rPr>
          <w:rFonts w:eastAsia="Times New Roman"/>
          <w:kern w:val="0"/>
          <w:sz w:val="20"/>
          <w:szCs w:val="20"/>
          <w:lang w:val="en-US" w:eastAsia="ru-RU"/>
        </w:rPr>
      </w:pPr>
      <w:r>
        <w:rPr>
          <w:rFonts w:eastAsia="Times New Roman"/>
          <w:kern w:val="0"/>
          <w:sz w:val="20"/>
          <w:szCs w:val="20"/>
          <w:lang w:eastAsia="ru-RU"/>
        </w:rPr>
        <w:t>Тел</w:t>
      </w:r>
      <w:r>
        <w:rPr>
          <w:rFonts w:eastAsia="Times New Roman"/>
          <w:kern w:val="0"/>
          <w:sz w:val="20"/>
          <w:szCs w:val="20"/>
          <w:lang w:val="en-US" w:eastAsia="ru-RU"/>
        </w:rPr>
        <w:t>. +7(4712) 58-45-22, E-mail: info@terplan.pro, www.terplan.pro</w:t>
      </w:r>
    </w:p>
    <w:p>
      <w:pPr>
        <w:suppressAutoHyphens/>
        <w:spacing w:after="0" w:line="240" w:lineRule="auto"/>
        <w:ind w:left="-240"/>
        <w:contextualSpacing/>
        <w:jc w:val="center"/>
        <w:rPr>
          <w:rFonts w:eastAsia="Times New Roman"/>
          <w:kern w:val="0"/>
          <w:sz w:val="20"/>
          <w:szCs w:val="20"/>
          <w:lang w:eastAsia="ru-RU"/>
        </w:rPr>
      </w:pPr>
      <w:r>
        <w:rPr>
          <w:rFonts w:eastAsia="Times New Roman"/>
          <w:kern w:val="0"/>
          <w:sz w:val="20"/>
          <w:szCs w:val="20"/>
          <w:lang w:eastAsia="ru-RU"/>
        </w:rPr>
        <w:t>ОГРН 1164632064167, ИНН/КПП 4632221668/463201001</w:t>
      </w:r>
    </w:p>
    <w:p>
      <w:pPr>
        <w:suppressAutoHyphens/>
        <w:spacing w:after="0" w:line="240" w:lineRule="auto"/>
        <w:ind w:left="-240"/>
        <w:contextualSpacing/>
        <w:jc w:val="center"/>
        <w:rPr>
          <w:rFonts w:eastAsia="Times New Roman"/>
          <w:kern w:val="0"/>
          <w:sz w:val="20"/>
          <w:szCs w:val="20"/>
          <w:lang w:eastAsia="ru-RU"/>
        </w:rPr>
      </w:pPr>
    </w:p>
    <w:p>
      <w:pPr>
        <w:suppressAutoHyphens/>
        <w:spacing w:after="0" w:line="240" w:lineRule="auto"/>
        <w:ind w:left="-240"/>
        <w:contextualSpacing/>
        <w:jc w:val="center"/>
        <w:rPr>
          <w:rFonts w:eastAsia="Times New Roman"/>
          <w:kern w:val="0"/>
          <w:sz w:val="20"/>
          <w:szCs w:val="20"/>
          <w:lang w:eastAsia="ru-RU"/>
        </w:rPr>
      </w:pPr>
    </w:p>
    <w:p>
      <w:pPr>
        <w:suppressAutoHyphens/>
        <w:spacing w:after="0" w:line="240" w:lineRule="auto"/>
        <w:ind w:left="-240"/>
        <w:contextualSpacing/>
        <w:jc w:val="center"/>
        <w:rPr>
          <w:rFonts w:eastAsia="Times New Roman"/>
          <w:kern w:val="0"/>
          <w:sz w:val="20"/>
          <w:szCs w:val="20"/>
          <w:lang w:eastAsia="ru-RU"/>
        </w:rPr>
      </w:pPr>
    </w:p>
    <w:p>
      <w:pPr>
        <w:suppressAutoHyphens/>
        <w:contextualSpacing/>
        <w:jc w:val="center"/>
        <w:rPr>
          <w:b/>
        </w:rPr>
      </w:pPr>
      <w:r>
        <w:rPr>
          <w:lang w:eastAsia="ru-RU"/>
        </w:rPr>
        <w:drawing>
          <wp:inline distT="0" distB="0" distL="0" distR="0">
            <wp:extent cx="2228850" cy="222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28850" cy="2228850"/>
                    </a:xfrm>
                    <a:prstGeom prst="rect">
                      <a:avLst/>
                    </a:prstGeom>
                    <a:noFill/>
                    <a:ln>
                      <a:noFill/>
                    </a:ln>
                  </pic:spPr>
                </pic:pic>
              </a:graphicData>
            </a:graphic>
          </wp:inline>
        </w:drawing>
      </w:r>
    </w:p>
    <w:p>
      <w:pPr>
        <w:suppressAutoHyphens/>
        <w:contextualSpacing/>
        <w:jc w:val="center"/>
        <w:rPr>
          <w:b/>
          <w:sz w:val="36"/>
          <w:szCs w:val="36"/>
        </w:rPr>
      </w:pPr>
    </w:p>
    <w:p>
      <w:pPr>
        <w:suppressAutoHyphens/>
        <w:contextualSpacing/>
        <w:jc w:val="center"/>
        <w:rPr>
          <w:b/>
          <w:sz w:val="36"/>
          <w:szCs w:val="36"/>
        </w:rPr>
      </w:pPr>
    </w:p>
    <w:p>
      <w:pPr>
        <w:suppressAutoHyphens/>
        <w:ind w:left="-240"/>
        <w:contextualSpacing/>
        <w:jc w:val="center"/>
        <w:rPr>
          <w:b/>
          <w:sz w:val="36"/>
          <w:szCs w:val="36"/>
        </w:rPr>
      </w:pPr>
      <w:r>
        <w:rPr>
          <w:b/>
          <w:sz w:val="36"/>
          <w:szCs w:val="36"/>
        </w:rPr>
        <w:t>ГЕНЕРАЛЬНЫЙ ПЛАН</w:t>
      </w:r>
    </w:p>
    <w:p>
      <w:pPr>
        <w:suppressAutoHyphens/>
        <w:ind w:left="-240"/>
        <w:contextualSpacing/>
        <w:jc w:val="center"/>
        <w:rPr>
          <w:b/>
          <w:sz w:val="36"/>
          <w:szCs w:val="36"/>
        </w:rPr>
      </w:pPr>
      <w:bookmarkStart w:id="7" w:name="_Toc185048182"/>
      <w:r>
        <w:rPr>
          <w:b/>
          <w:sz w:val="36"/>
          <w:szCs w:val="36"/>
        </w:rPr>
        <w:t>ЕЙСКОУКРЕПЛЕНСКОГО СЕЛЬСКОГО ПОСЕЛЕНИЯ</w:t>
      </w:r>
    </w:p>
    <w:p>
      <w:pPr>
        <w:suppressAutoHyphens/>
        <w:ind w:left="-240"/>
        <w:contextualSpacing/>
        <w:jc w:val="center"/>
        <w:rPr>
          <w:b/>
          <w:sz w:val="36"/>
          <w:szCs w:val="36"/>
        </w:rPr>
      </w:pPr>
      <w:r>
        <w:rPr>
          <w:b/>
          <w:sz w:val="36"/>
          <w:szCs w:val="36"/>
        </w:rPr>
        <w:t xml:space="preserve">ЩЕРБИНОВСКОГО РАЙОНА </w:t>
      </w:r>
    </w:p>
    <w:p>
      <w:pPr>
        <w:suppressAutoHyphens/>
        <w:ind w:left="-240"/>
        <w:contextualSpacing/>
        <w:jc w:val="center"/>
        <w:rPr>
          <w:b/>
          <w:sz w:val="36"/>
          <w:szCs w:val="36"/>
        </w:rPr>
      </w:pPr>
      <w:r>
        <w:rPr>
          <w:b/>
          <w:sz w:val="36"/>
          <w:szCs w:val="36"/>
        </w:rPr>
        <w:t>КРАСНОДАРСКОГО КРАЯ</w:t>
      </w:r>
    </w:p>
    <w:bookmarkEnd w:id="7"/>
    <w:p>
      <w:pPr>
        <w:suppressAutoHyphens/>
        <w:ind w:left="-240"/>
        <w:contextualSpacing/>
        <w:jc w:val="center"/>
        <w:rPr>
          <w:b/>
          <w:sz w:val="16"/>
          <w:szCs w:val="16"/>
        </w:rPr>
      </w:pPr>
    </w:p>
    <w:p>
      <w:pPr>
        <w:suppressAutoHyphens/>
        <w:ind w:left="-240"/>
        <w:contextualSpacing/>
        <w:jc w:val="center"/>
        <w:rPr>
          <w:b/>
          <w:sz w:val="16"/>
          <w:szCs w:val="16"/>
        </w:rPr>
      </w:pPr>
    </w:p>
    <w:p>
      <w:pPr>
        <w:suppressAutoHyphens/>
        <w:ind w:left="-240"/>
        <w:contextualSpacing/>
        <w:jc w:val="center"/>
        <w:rPr>
          <w:b/>
          <w:sz w:val="32"/>
          <w:szCs w:val="32"/>
        </w:rPr>
      </w:pPr>
      <w:r>
        <w:rPr>
          <w:b/>
          <w:sz w:val="32"/>
          <w:szCs w:val="32"/>
        </w:rPr>
        <w:t xml:space="preserve">МАТЕРИАЛЫ ПО ОБОСНОВАНИЮ </w:t>
      </w:r>
    </w:p>
    <w:p>
      <w:pPr>
        <w:suppressAutoHyphens/>
        <w:ind w:left="-240"/>
        <w:contextualSpacing/>
        <w:jc w:val="center"/>
        <w:rPr>
          <w:b/>
          <w:sz w:val="32"/>
          <w:szCs w:val="32"/>
        </w:rPr>
      </w:pPr>
      <w:r>
        <w:rPr>
          <w:b/>
          <w:sz w:val="32"/>
          <w:szCs w:val="32"/>
        </w:rPr>
        <w:t>ГЕНЕРАЛЬНОГО ПЛАНА</w:t>
      </w:r>
    </w:p>
    <w:p>
      <w:pPr>
        <w:suppressAutoHyphens/>
        <w:ind w:left="-240"/>
        <w:contextualSpacing/>
        <w:rPr>
          <w:b/>
          <w:sz w:val="16"/>
          <w:szCs w:val="16"/>
        </w:rPr>
      </w:pPr>
    </w:p>
    <w:p>
      <w:pPr>
        <w:suppressAutoHyphens/>
        <w:ind w:left="-240"/>
        <w:contextualSpacing/>
        <w:rPr>
          <w:b/>
          <w:sz w:val="16"/>
          <w:szCs w:val="16"/>
        </w:rPr>
      </w:pPr>
    </w:p>
    <w:p>
      <w:pPr>
        <w:suppressAutoHyphens/>
        <w:ind w:left="-240"/>
        <w:contextualSpacing/>
        <w:jc w:val="center"/>
        <w:rPr>
          <w:b/>
          <w:sz w:val="32"/>
          <w:szCs w:val="32"/>
        </w:rPr>
      </w:pPr>
    </w:p>
    <w:p>
      <w:pPr>
        <w:suppressAutoHyphens/>
        <w:ind w:left="-240"/>
        <w:contextualSpacing/>
        <w:jc w:val="center"/>
        <w:rPr>
          <w:b/>
          <w:sz w:val="28"/>
          <w:szCs w:val="28"/>
        </w:rPr>
      </w:pPr>
      <w:r>
        <w:rPr>
          <w:b/>
          <w:sz w:val="28"/>
          <w:szCs w:val="28"/>
        </w:rPr>
        <w:t xml:space="preserve">Том 2 </w:t>
      </w:r>
    </w:p>
    <w:p>
      <w:pPr>
        <w:suppressAutoHyphens/>
        <w:ind w:left="-240"/>
        <w:contextualSpacing/>
        <w:rPr>
          <w:b/>
          <w:sz w:val="16"/>
          <w:szCs w:val="16"/>
        </w:rPr>
      </w:pPr>
    </w:p>
    <w:p>
      <w:pPr>
        <w:suppressAutoHyphens/>
        <w:ind w:left="-240"/>
        <w:contextualSpacing/>
        <w:rPr>
          <w:b/>
          <w:sz w:val="16"/>
          <w:szCs w:val="16"/>
        </w:rPr>
      </w:pPr>
    </w:p>
    <w:p>
      <w:pPr>
        <w:suppressAutoHyphens/>
        <w:ind w:left="-240"/>
        <w:contextualSpacing/>
        <w:rPr>
          <w:b/>
          <w:sz w:val="16"/>
          <w:szCs w:val="16"/>
        </w:rPr>
      </w:pPr>
    </w:p>
    <w:p>
      <w:pPr>
        <w:suppressAutoHyphens/>
        <w:ind w:left="-240"/>
        <w:contextualSpacing/>
        <w:rPr>
          <w:b/>
          <w:sz w:val="16"/>
          <w:szCs w:val="16"/>
        </w:rPr>
      </w:pPr>
    </w:p>
    <w:p>
      <w:pPr>
        <w:suppressAutoHyphens/>
        <w:ind w:left="-240"/>
        <w:contextualSpacing/>
        <w:rPr>
          <w:b/>
          <w:sz w:val="16"/>
          <w:szCs w:val="16"/>
        </w:rPr>
      </w:pPr>
    </w:p>
    <w:p>
      <w:pPr>
        <w:suppressAutoHyphens/>
        <w:contextualSpacing/>
        <w:rPr>
          <w:b/>
          <w:sz w:val="16"/>
          <w:szCs w:val="16"/>
        </w:rPr>
      </w:pPr>
    </w:p>
    <w:p>
      <w:pPr>
        <w:suppressAutoHyphens/>
        <w:autoSpaceDE w:val="0"/>
        <w:contextualSpacing/>
        <w:jc w:val="center"/>
        <w:rPr>
          <w:b/>
          <w:bCs/>
        </w:rPr>
      </w:pPr>
    </w:p>
    <w:p>
      <w:pPr>
        <w:suppressAutoHyphens/>
        <w:autoSpaceDE w:val="0"/>
        <w:contextualSpacing/>
        <w:jc w:val="center"/>
        <w:rPr>
          <w:b/>
          <w:bCs/>
        </w:rPr>
      </w:pPr>
    </w:p>
    <w:p>
      <w:pPr>
        <w:suppressAutoHyphens/>
        <w:autoSpaceDE w:val="0"/>
        <w:ind w:left="-240" w:firstLine="567"/>
        <w:contextualSpacing/>
        <w:jc w:val="center"/>
        <w:rPr>
          <w:b/>
          <w:bCs/>
        </w:rPr>
      </w:pPr>
    </w:p>
    <w:p>
      <w:pPr>
        <w:suppressAutoHyphens/>
        <w:ind w:left="-240"/>
        <w:contextualSpacing/>
        <w:jc w:val="center"/>
        <w:rPr>
          <w:b/>
          <w:sz w:val="28"/>
          <w:szCs w:val="28"/>
        </w:rPr>
      </w:pPr>
      <w:r>
        <w:rPr>
          <w:b/>
          <w:sz w:val="28"/>
          <w:szCs w:val="28"/>
        </w:rPr>
        <w:t>г. Курск 2020г.</w:t>
      </w:r>
    </w:p>
    <w:p>
      <w:pPr>
        <w:suppressAutoHyphens/>
        <w:autoSpaceDE w:val="0"/>
        <w:ind w:left="-240" w:firstLine="240"/>
        <w:contextualSpacing/>
        <w:jc w:val="center"/>
        <w:rPr>
          <w:b/>
          <w:bCs/>
        </w:rPr>
        <w:sectPr>
          <w:headerReference r:id="rId5" w:type="default"/>
          <w:footerReference r:id="rId7" w:type="default"/>
          <w:headerReference r:id="rId6" w:type="even"/>
          <w:type w:val="continuous"/>
          <w:pgSz w:w="11906" w:h="16838"/>
          <w:pgMar w:top="1134" w:right="849" w:bottom="1134" w:left="1701" w:header="709" w:footer="709" w:gutter="0"/>
          <w:cols w:space="708" w:num="1"/>
          <w:titlePg/>
          <w:docGrid w:linePitch="360" w:charSpace="0"/>
        </w:sectPr>
      </w:pPr>
    </w:p>
    <w:bookmarkEnd w:id="0"/>
    <w:bookmarkEnd w:id="1"/>
    <w:tbl>
      <w:tblPr>
        <w:tblStyle w:val="12"/>
        <w:tblW w:w="0" w:type="auto"/>
        <w:tblInd w:w="0" w:type="dxa"/>
        <w:tblLayout w:type="autofit"/>
        <w:tblCellMar>
          <w:top w:w="0" w:type="dxa"/>
          <w:left w:w="108" w:type="dxa"/>
          <w:bottom w:w="0" w:type="dxa"/>
          <w:right w:w="108" w:type="dxa"/>
        </w:tblCellMar>
      </w:tblPr>
      <w:tblGrid>
        <w:gridCol w:w="3227"/>
        <w:gridCol w:w="6237"/>
      </w:tblGrid>
      <w:tr>
        <w:tblPrEx>
          <w:tblCellMar>
            <w:top w:w="0" w:type="dxa"/>
            <w:left w:w="108" w:type="dxa"/>
            <w:bottom w:w="0" w:type="dxa"/>
            <w:right w:w="108" w:type="dxa"/>
          </w:tblCellMar>
        </w:tblPrEx>
        <w:tc>
          <w:tcPr>
            <w:tcW w:w="3227" w:type="dxa"/>
          </w:tcPr>
          <w:p>
            <w:pPr>
              <w:suppressAutoHyphens/>
              <w:contextualSpacing/>
              <w:rPr>
                <w:b/>
                <w:sz w:val="28"/>
                <w:szCs w:val="28"/>
              </w:rPr>
            </w:pPr>
            <w:bookmarkStart w:id="8" w:name="_Toc55908857"/>
            <w:bookmarkStart w:id="9" w:name="_Toc342472299"/>
            <w:bookmarkStart w:id="10" w:name="_Toc391985317"/>
            <w:bookmarkStart w:id="11" w:name="_Toc397506701"/>
            <w:bookmarkStart w:id="12" w:name="_Toc411257223"/>
            <w:bookmarkStart w:id="13" w:name="_Toc369705895"/>
            <w:bookmarkStart w:id="14" w:name="_Toc315701061"/>
            <w:r>
              <w:rPr>
                <w:b/>
                <w:sz w:val="28"/>
                <w:szCs w:val="28"/>
              </w:rPr>
              <w:t>Заказчик</w:t>
            </w:r>
          </w:p>
        </w:tc>
        <w:tc>
          <w:tcPr>
            <w:tcW w:w="6237" w:type="dxa"/>
          </w:tcPr>
          <w:p>
            <w:pPr>
              <w:suppressAutoHyphens/>
              <w:contextualSpacing/>
              <w:rPr>
                <w:b/>
                <w:sz w:val="28"/>
                <w:szCs w:val="28"/>
              </w:rPr>
            </w:pPr>
            <w:r>
              <w:rPr>
                <w:b/>
                <w:sz w:val="28"/>
                <w:szCs w:val="28"/>
              </w:rPr>
              <w:t>Администрация муниципального образования</w:t>
            </w:r>
          </w:p>
          <w:p>
            <w:pPr>
              <w:suppressAutoHyphens/>
              <w:contextualSpacing/>
              <w:rPr>
                <w:b/>
                <w:sz w:val="28"/>
                <w:szCs w:val="28"/>
              </w:rPr>
            </w:pPr>
            <w:r>
              <w:rPr>
                <w:b/>
                <w:sz w:val="28"/>
                <w:szCs w:val="28"/>
              </w:rPr>
              <w:t>Щербиновский район</w:t>
            </w:r>
          </w:p>
        </w:tc>
      </w:tr>
      <w:tr>
        <w:tblPrEx>
          <w:tblCellMar>
            <w:top w:w="0" w:type="dxa"/>
            <w:left w:w="108" w:type="dxa"/>
            <w:bottom w:w="0" w:type="dxa"/>
            <w:right w:w="108" w:type="dxa"/>
          </w:tblCellMar>
        </w:tblPrEx>
        <w:tc>
          <w:tcPr>
            <w:tcW w:w="3227" w:type="dxa"/>
          </w:tcPr>
          <w:p>
            <w:pPr>
              <w:suppressAutoHyphens/>
              <w:contextualSpacing/>
              <w:jc w:val="center"/>
              <w:rPr>
                <w:b/>
                <w:sz w:val="28"/>
                <w:szCs w:val="28"/>
              </w:rPr>
            </w:pPr>
          </w:p>
        </w:tc>
        <w:tc>
          <w:tcPr>
            <w:tcW w:w="6237" w:type="dxa"/>
          </w:tcPr>
          <w:p>
            <w:pPr>
              <w:suppressAutoHyphens/>
              <w:contextualSpacing/>
              <w:jc w:val="center"/>
              <w:rPr>
                <w:b/>
                <w:sz w:val="28"/>
                <w:szCs w:val="28"/>
              </w:rPr>
            </w:pPr>
          </w:p>
        </w:tc>
      </w:tr>
      <w:tr>
        <w:tblPrEx>
          <w:tblCellMar>
            <w:top w:w="0" w:type="dxa"/>
            <w:left w:w="108" w:type="dxa"/>
            <w:bottom w:w="0" w:type="dxa"/>
            <w:right w:w="108" w:type="dxa"/>
          </w:tblCellMar>
        </w:tblPrEx>
        <w:tc>
          <w:tcPr>
            <w:tcW w:w="3227" w:type="dxa"/>
          </w:tcPr>
          <w:p>
            <w:pPr>
              <w:suppressAutoHyphens/>
              <w:contextualSpacing/>
              <w:rPr>
                <w:b/>
                <w:sz w:val="28"/>
                <w:szCs w:val="28"/>
              </w:rPr>
            </w:pPr>
            <w:r>
              <w:rPr>
                <w:b/>
                <w:sz w:val="28"/>
                <w:szCs w:val="28"/>
              </w:rPr>
              <w:t>Исполнитель</w:t>
            </w:r>
          </w:p>
        </w:tc>
        <w:tc>
          <w:tcPr>
            <w:tcW w:w="6237" w:type="dxa"/>
          </w:tcPr>
          <w:p>
            <w:pPr>
              <w:suppressAutoHyphens/>
              <w:contextualSpacing/>
              <w:rPr>
                <w:b/>
                <w:sz w:val="28"/>
                <w:szCs w:val="28"/>
              </w:rPr>
            </w:pPr>
            <w:r>
              <w:rPr>
                <w:b/>
                <w:sz w:val="28"/>
                <w:szCs w:val="28"/>
              </w:rPr>
              <w:t>Общество с ограниченной ответственностью</w:t>
            </w:r>
          </w:p>
          <w:p>
            <w:pPr>
              <w:suppressAutoHyphens/>
              <w:contextualSpacing/>
              <w:rPr>
                <w:b/>
                <w:sz w:val="32"/>
                <w:szCs w:val="32"/>
              </w:rPr>
            </w:pPr>
            <w:r>
              <w:rPr>
                <w:b/>
                <w:sz w:val="28"/>
                <w:szCs w:val="28"/>
              </w:rPr>
              <w:t>«Центр Картографии и Территориального Планирования»</w:t>
            </w:r>
          </w:p>
        </w:tc>
      </w:tr>
    </w:tbl>
    <w:p>
      <w:pPr>
        <w:suppressAutoHyphens/>
        <w:ind w:left="-240" w:right="849"/>
        <w:contextualSpacing/>
        <w:jc w:val="center"/>
        <w:rPr>
          <w:b/>
          <w:sz w:val="36"/>
          <w:szCs w:val="36"/>
        </w:rPr>
      </w:pPr>
    </w:p>
    <w:p>
      <w:pPr>
        <w:suppressAutoHyphens/>
        <w:contextualSpacing/>
        <w:rPr>
          <w:b/>
          <w:sz w:val="36"/>
          <w:szCs w:val="36"/>
        </w:rPr>
      </w:pPr>
    </w:p>
    <w:p>
      <w:pPr>
        <w:suppressAutoHyphens/>
        <w:ind w:left="-240"/>
        <w:contextualSpacing/>
        <w:jc w:val="center"/>
        <w:rPr>
          <w:b/>
          <w:sz w:val="36"/>
          <w:szCs w:val="36"/>
        </w:rPr>
      </w:pPr>
      <w:r>
        <w:rPr>
          <w:b/>
          <w:sz w:val="36"/>
          <w:szCs w:val="36"/>
        </w:rPr>
        <w:t>ГЕНЕРАЛЬНЫЙ ПЛАН</w:t>
      </w:r>
    </w:p>
    <w:p>
      <w:pPr>
        <w:suppressAutoHyphens/>
        <w:ind w:left="-240"/>
        <w:contextualSpacing/>
        <w:jc w:val="center"/>
        <w:rPr>
          <w:b/>
          <w:sz w:val="36"/>
          <w:szCs w:val="36"/>
        </w:rPr>
      </w:pPr>
      <w:r>
        <w:rPr>
          <w:b/>
          <w:sz w:val="36"/>
          <w:szCs w:val="36"/>
        </w:rPr>
        <w:t>ЕЙСКОУКРЕПЛЕНСКОГО СЕЛЬСКОГО ПОСЕЛЕНИЯ</w:t>
      </w:r>
    </w:p>
    <w:p>
      <w:pPr>
        <w:suppressAutoHyphens/>
        <w:ind w:left="-240"/>
        <w:contextualSpacing/>
        <w:jc w:val="center"/>
        <w:rPr>
          <w:b/>
          <w:sz w:val="36"/>
          <w:szCs w:val="36"/>
        </w:rPr>
      </w:pPr>
      <w:r>
        <w:rPr>
          <w:b/>
          <w:sz w:val="36"/>
          <w:szCs w:val="36"/>
        </w:rPr>
        <w:t xml:space="preserve">ЩЕРБИНОВСКОГО РАЙОНА </w:t>
      </w:r>
    </w:p>
    <w:p>
      <w:pPr>
        <w:suppressAutoHyphens/>
        <w:ind w:left="-240"/>
        <w:contextualSpacing/>
        <w:jc w:val="center"/>
        <w:rPr>
          <w:b/>
          <w:sz w:val="36"/>
          <w:szCs w:val="36"/>
        </w:rPr>
      </w:pPr>
      <w:r>
        <w:rPr>
          <w:b/>
          <w:sz w:val="36"/>
          <w:szCs w:val="36"/>
        </w:rPr>
        <w:t>КРАСНОДАРСКОГО КРАЯ</w:t>
      </w:r>
    </w:p>
    <w:p>
      <w:pPr>
        <w:suppressAutoHyphens/>
        <w:ind w:left="-240"/>
        <w:contextualSpacing/>
        <w:jc w:val="center"/>
        <w:rPr>
          <w:b/>
          <w:sz w:val="36"/>
          <w:szCs w:val="36"/>
        </w:rPr>
      </w:pPr>
    </w:p>
    <w:p>
      <w:pPr>
        <w:suppressAutoHyphens/>
        <w:ind w:left="-240"/>
        <w:contextualSpacing/>
        <w:jc w:val="center"/>
        <w:rPr>
          <w:b/>
          <w:sz w:val="16"/>
          <w:szCs w:val="16"/>
        </w:rPr>
      </w:pPr>
    </w:p>
    <w:p>
      <w:pPr>
        <w:suppressAutoHyphens/>
        <w:ind w:left="-240"/>
        <w:contextualSpacing/>
        <w:jc w:val="center"/>
        <w:rPr>
          <w:b/>
          <w:sz w:val="16"/>
          <w:szCs w:val="16"/>
        </w:rPr>
      </w:pPr>
    </w:p>
    <w:p>
      <w:pPr>
        <w:suppressAutoHyphens/>
        <w:ind w:left="-240"/>
        <w:contextualSpacing/>
        <w:jc w:val="center"/>
        <w:rPr>
          <w:b/>
          <w:sz w:val="32"/>
          <w:szCs w:val="32"/>
        </w:rPr>
      </w:pPr>
      <w:r>
        <w:rPr>
          <w:b/>
          <w:sz w:val="32"/>
          <w:szCs w:val="32"/>
        </w:rPr>
        <w:t xml:space="preserve">МАТЕРИАЛЫ ПО ОБОСНОВАНИЮ </w:t>
      </w:r>
    </w:p>
    <w:p>
      <w:pPr>
        <w:suppressAutoHyphens/>
        <w:ind w:left="-240"/>
        <w:contextualSpacing/>
        <w:jc w:val="center"/>
        <w:rPr>
          <w:b/>
          <w:sz w:val="32"/>
          <w:szCs w:val="32"/>
        </w:rPr>
      </w:pPr>
      <w:r>
        <w:rPr>
          <w:b/>
          <w:sz w:val="32"/>
          <w:szCs w:val="32"/>
        </w:rPr>
        <w:t>ГЕНЕРАЛЬНОГО ПЛАНА</w:t>
      </w:r>
    </w:p>
    <w:p>
      <w:pPr>
        <w:suppressAutoHyphens/>
        <w:ind w:left="-240"/>
        <w:contextualSpacing/>
        <w:rPr>
          <w:b/>
          <w:sz w:val="16"/>
          <w:szCs w:val="16"/>
        </w:rPr>
      </w:pPr>
    </w:p>
    <w:p>
      <w:pPr>
        <w:suppressAutoHyphens/>
        <w:ind w:left="-240"/>
        <w:contextualSpacing/>
        <w:rPr>
          <w:b/>
          <w:sz w:val="16"/>
          <w:szCs w:val="16"/>
        </w:rPr>
      </w:pPr>
    </w:p>
    <w:p>
      <w:pPr>
        <w:suppressAutoHyphens/>
        <w:ind w:left="-240"/>
        <w:contextualSpacing/>
        <w:jc w:val="center"/>
        <w:rPr>
          <w:b/>
          <w:sz w:val="32"/>
          <w:szCs w:val="32"/>
        </w:rPr>
      </w:pPr>
    </w:p>
    <w:p>
      <w:pPr>
        <w:suppressAutoHyphens/>
        <w:ind w:left="-240"/>
        <w:contextualSpacing/>
        <w:jc w:val="center"/>
        <w:rPr>
          <w:b/>
          <w:sz w:val="32"/>
          <w:szCs w:val="32"/>
        </w:rPr>
      </w:pPr>
    </w:p>
    <w:p>
      <w:pPr>
        <w:suppressAutoHyphens/>
        <w:ind w:left="-240"/>
        <w:contextualSpacing/>
        <w:jc w:val="center"/>
        <w:rPr>
          <w:b/>
          <w:sz w:val="28"/>
          <w:szCs w:val="28"/>
        </w:rPr>
      </w:pPr>
      <w:r>
        <w:rPr>
          <w:b/>
          <w:sz w:val="28"/>
          <w:szCs w:val="28"/>
        </w:rPr>
        <w:t xml:space="preserve">Том 2 </w:t>
      </w:r>
    </w:p>
    <w:p>
      <w:pPr>
        <w:suppressAutoHyphens/>
        <w:ind w:left="-240"/>
        <w:contextualSpacing/>
        <w:rPr>
          <w:b/>
          <w:sz w:val="16"/>
          <w:szCs w:val="16"/>
        </w:rPr>
      </w:pPr>
    </w:p>
    <w:p>
      <w:pPr>
        <w:suppressAutoHyphens/>
        <w:contextualSpacing/>
        <w:jc w:val="center"/>
        <w:rPr>
          <w:b/>
          <w:sz w:val="28"/>
          <w:szCs w:val="28"/>
        </w:rPr>
      </w:pPr>
    </w:p>
    <w:p>
      <w:pPr>
        <w:suppressAutoHyphens/>
        <w:contextualSpacing/>
        <w:jc w:val="center"/>
        <w:rPr>
          <w:b/>
          <w:sz w:val="28"/>
        </w:rPr>
      </w:pPr>
    </w:p>
    <w:p>
      <w:pPr>
        <w:suppressAutoHyphens/>
        <w:contextualSpacing/>
        <w:jc w:val="center"/>
        <w:rPr>
          <w:b/>
          <w:sz w:val="28"/>
        </w:rPr>
      </w:pPr>
    </w:p>
    <w:p>
      <w:pPr>
        <w:suppressAutoHyphens/>
        <w:contextualSpacing/>
        <w:rPr>
          <w:b/>
          <w:bCs/>
        </w:rPr>
      </w:pPr>
    </w:p>
    <w:p>
      <w:pPr>
        <w:suppressAutoHyphens/>
        <w:contextualSpacing/>
        <w:rPr>
          <w:b/>
          <w:bCs/>
        </w:rPr>
      </w:pPr>
    </w:p>
    <w:p>
      <w:pPr>
        <w:suppressAutoHyphens/>
        <w:contextualSpacing/>
        <w:rPr>
          <w:b/>
          <w:bCs/>
        </w:rPr>
      </w:pPr>
    </w:p>
    <w:p>
      <w:pPr>
        <w:suppressAutoHyphens/>
        <w:contextualSpacing/>
        <w:rPr>
          <w:b/>
          <w:bCs/>
        </w:rPr>
      </w:pPr>
    </w:p>
    <w:p>
      <w:pPr>
        <w:suppressAutoHyphens/>
        <w:autoSpaceDE w:val="0"/>
        <w:spacing w:line="360" w:lineRule="auto"/>
        <w:ind w:firstLine="567"/>
        <w:contextualSpacing/>
        <w:rPr>
          <w:b/>
          <w:bCs/>
          <w:kern w:val="1"/>
          <w:sz w:val="28"/>
          <w:szCs w:val="28"/>
        </w:rPr>
      </w:pPr>
      <w:r>
        <w:rPr>
          <w:b/>
          <w:bCs/>
          <w:kern w:val="1"/>
          <w:sz w:val="28"/>
          <w:szCs w:val="28"/>
        </w:rPr>
        <w:t>Директор</w:t>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Ткаченко Н.С.</w:t>
      </w:r>
    </w:p>
    <w:p>
      <w:pPr>
        <w:suppressAutoHyphens/>
        <w:autoSpaceDE w:val="0"/>
        <w:spacing w:line="360" w:lineRule="auto"/>
        <w:ind w:firstLine="567"/>
        <w:contextualSpacing/>
        <w:rPr>
          <w:b/>
          <w:bCs/>
          <w:kern w:val="1"/>
          <w:sz w:val="28"/>
          <w:szCs w:val="28"/>
        </w:rPr>
      </w:pPr>
      <w:r>
        <w:rPr>
          <w:b/>
          <w:bCs/>
          <w:kern w:val="1"/>
          <w:sz w:val="28"/>
          <w:szCs w:val="28"/>
        </w:rPr>
        <w:t>Главный архитектор проекта</w:t>
      </w:r>
      <w:r>
        <w:rPr>
          <w:b/>
          <w:bCs/>
          <w:kern w:val="1"/>
          <w:sz w:val="28"/>
          <w:szCs w:val="28"/>
        </w:rPr>
        <w:tab/>
      </w:r>
      <w:r>
        <w:rPr>
          <w:b/>
          <w:bCs/>
          <w:kern w:val="1"/>
          <w:sz w:val="28"/>
          <w:szCs w:val="28"/>
        </w:rPr>
        <w:tab/>
      </w:r>
      <w:r>
        <w:rPr>
          <w:b/>
          <w:bCs/>
          <w:kern w:val="1"/>
          <w:sz w:val="28"/>
          <w:szCs w:val="28"/>
        </w:rPr>
        <w:tab/>
      </w:r>
      <w:r>
        <w:rPr>
          <w:b/>
          <w:bCs/>
          <w:kern w:val="1"/>
          <w:sz w:val="28"/>
          <w:szCs w:val="28"/>
        </w:rPr>
        <w:t>Сабельников А.Н.</w:t>
      </w:r>
    </w:p>
    <w:p>
      <w:pPr>
        <w:suppressAutoHyphens/>
        <w:autoSpaceDE w:val="0"/>
        <w:spacing w:line="360" w:lineRule="auto"/>
        <w:ind w:firstLine="567"/>
        <w:contextualSpacing/>
        <w:rPr>
          <w:b/>
          <w:bCs/>
          <w:kern w:val="1"/>
          <w:sz w:val="28"/>
          <w:szCs w:val="28"/>
        </w:rPr>
      </w:pPr>
      <w:r>
        <w:rPr>
          <w:b/>
          <w:bCs/>
          <w:kern w:val="1"/>
          <w:sz w:val="28"/>
          <w:szCs w:val="28"/>
        </w:rPr>
        <w:t xml:space="preserve">Руководитель проекта </w:t>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ab/>
      </w:r>
      <w:r>
        <w:rPr>
          <w:b/>
          <w:bCs/>
          <w:kern w:val="1"/>
          <w:sz w:val="28"/>
          <w:szCs w:val="28"/>
        </w:rPr>
        <w:t>Коржавин К.Е.</w:t>
      </w:r>
    </w:p>
    <w:p>
      <w:pPr>
        <w:suppressAutoHyphens/>
        <w:autoSpaceDE w:val="0"/>
        <w:ind w:firstLine="567"/>
        <w:contextualSpacing/>
        <w:rPr>
          <w:b/>
          <w:bCs/>
          <w:kern w:val="1"/>
          <w:sz w:val="28"/>
          <w:szCs w:val="28"/>
        </w:rPr>
      </w:pPr>
    </w:p>
    <w:p>
      <w:pPr>
        <w:suppressAutoHyphens/>
        <w:contextualSpacing/>
        <w:rPr>
          <w:b/>
          <w:bCs/>
        </w:rPr>
      </w:pPr>
    </w:p>
    <w:p>
      <w:pPr>
        <w:suppressAutoHyphens/>
        <w:contextualSpacing/>
        <w:jc w:val="center"/>
        <w:rPr>
          <w:b/>
          <w:bCs/>
        </w:rPr>
      </w:pPr>
    </w:p>
    <w:p>
      <w:pPr>
        <w:suppressAutoHyphens/>
        <w:ind w:left="-240"/>
        <w:contextualSpacing/>
        <w:jc w:val="center"/>
        <w:rPr>
          <w:b/>
          <w:sz w:val="28"/>
          <w:szCs w:val="28"/>
        </w:rPr>
      </w:pPr>
      <w:r>
        <w:rPr>
          <w:b/>
          <w:sz w:val="28"/>
          <w:szCs w:val="28"/>
        </w:rPr>
        <w:t>г. Курск 2020 г.</w:t>
      </w:r>
    </w:p>
    <w:p>
      <w:pPr>
        <w:keepLines/>
        <w:pageBreakBefore/>
        <w:suppressAutoHyphens/>
        <w:jc w:val="center"/>
        <w:outlineLvl w:val="0"/>
        <w:rPr>
          <w:b/>
        </w:rPr>
      </w:pPr>
      <w:bookmarkStart w:id="15" w:name="_Toc57203181"/>
      <w:r>
        <w:rPr>
          <w:b/>
        </w:rPr>
        <w:t>АВТОРСКИЙ КОЛЛЕКТИВ</w:t>
      </w:r>
      <w:bookmarkEnd w:id="8"/>
      <w:bookmarkEnd w:id="15"/>
    </w:p>
    <w:p>
      <w:pPr>
        <w:keepLines/>
        <w:suppressAutoHyphens/>
        <w:jc w:val="center"/>
        <w:outlineLvl w:val="0"/>
        <w:rPr>
          <w:b/>
        </w:rPr>
      </w:pPr>
      <w:bookmarkStart w:id="16" w:name="_Toc55908858"/>
      <w:bookmarkStart w:id="17" w:name="_Toc57203182"/>
      <w:r>
        <w:rPr>
          <w:b/>
        </w:rPr>
        <w:t>ООО «Центр Картографии и Территориального Планирования»</w:t>
      </w:r>
      <w:bookmarkEnd w:id="16"/>
      <w:bookmarkEnd w:id="17"/>
    </w:p>
    <w:p>
      <w:pPr>
        <w:jc w:val="both"/>
        <w:rPr>
          <w:iCs/>
        </w:rPr>
      </w:pPr>
    </w:p>
    <w:p>
      <w:pPr>
        <w:jc w:val="both"/>
        <w:rPr>
          <w:iCs/>
        </w:rPr>
      </w:pPr>
      <w:r>
        <w:rPr>
          <w:iCs/>
        </w:rPr>
        <w:t>Ткаченко Н.С.</w:t>
      </w:r>
      <w:r>
        <w:rPr>
          <w:iCs/>
        </w:rPr>
        <w:tab/>
      </w:r>
      <w:r>
        <w:rPr>
          <w:iCs/>
        </w:rPr>
        <w:t xml:space="preserve">         — директор</w:t>
      </w:r>
    </w:p>
    <w:p>
      <w:pPr>
        <w:jc w:val="both"/>
        <w:rPr>
          <w:iCs/>
        </w:rPr>
      </w:pPr>
      <w:r>
        <w:rPr>
          <w:iCs/>
        </w:rPr>
        <w:t>Сабельников А.Н.              — главный архитектор проекта</w:t>
      </w:r>
    </w:p>
    <w:p>
      <w:pPr>
        <w:jc w:val="both"/>
        <w:rPr>
          <w:iCs/>
        </w:rPr>
      </w:pPr>
      <w:r>
        <w:rPr>
          <w:iCs/>
        </w:rPr>
        <w:t>Коржавин К.Е.                   — руководитель проекта</w:t>
      </w:r>
    </w:p>
    <w:p>
      <w:pPr>
        <w:jc w:val="both"/>
        <w:rPr>
          <w:iCs/>
        </w:rPr>
      </w:pPr>
    </w:p>
    <w:p>
      <w:pPr>
        <w:jc w:val="both"/>
        <w:rPr>
          <w:iCs/>
        </w:rPr>
      </w:pPr>
      <w:r>
        <w:rPr>
          <w:iCs/>
        </w:rPr>
        <w:t>Ашурков В.В                      — архитектор</w:t>
      </w:r>
    </w:p>
    <w:p>
      <w:pPr>
        <w:jc w:val="both"/>
        <w:rPr>
          <w:iCs/>
        </w:rPr>
      </w:pPr>
      <w:r>
        <w:rPr>
          <w:iCs/>
        </w:rPr>
        <w:t>Шуклин Г.С.                       — архитектор</w:t>
      </w:r>
    </w:p>
    <w:p>
      <w:pPr>
        <w:jc w:val="both"/>
        <w:rPr>
          <w:iCs/>
        </w:rPr>
      </w:pPr>
      <w:r>
        <w:rPr>
          <w:iCs/>
        </w:rPr>
        <w:t>Бурцева Н. А.</w:t>
      </w:r>
      <w:r>
        <w:rPr>
          <w:iCs/>
        </w:rPr>
        <w:tab/>
      </w:r>
      <w:r>
        <w:rPr>
          <w:iCs/>
        </w:rPr>
        <w:t xml:space="preserve">                     — начальник отдела картографии</w:t>
      </w:r>
    </w:p>
    <w:p>
      <w:pPr>
        <w:jc w:val="both"/>
        <w:rPr>
          <w:iCs/>
        </w:rPr>
      </w:pPr>
      <w:r>
        <w:rPr>
          <w:iCs/>
        </w:rPr>
        <w:t>Васильева М.С.                  — зам. начальника отдела ГЭА</w:t>
      </w:r>
    </w:p>
    <w:p>
      <w:pPr>
        <w:jc w:val="both"/>
        <w:rPr>
          <w:iCs/>
        </w:rPr>
      </w:pPr>
      <w:r>
        <w:rPr>
          <w:iCs/>
        </w:rPr>
        <w:t xml:space="preserve">Примак А.А. </w:t>
      </w:r>
      <w:r>
        <w:rPr>
          <w:iCs/>
        </w:rPr>
        <w:tab/>
      </w:r>
      <w:r>
        <w:rPr>
          <w:iCs/>
        </w:rPr>
        <w:t xml:space="preserve">                     — менеджер ГИС</w:t>
      </w:r>
    </w:p>
    <w:p>
      <w:pPr>
        <w:jc w:val="both"/>
        <w:rPr>
          <w:iCs/>
        </w:rPr>
      </w:pPr>
      <w:r>
        <w:rPr>
          <w:iCs/>
        </w:rPr>
        <w:t>Воронина О.И.                   — инженер-картограф</w:t>
      </w:r>
    </w:p>
    <w:p>
      <w:pPr>
        <w:jc w:val="both"/>
        <w:rPr>
          <w:iCs/>
        </w:rPr>
      </w:pPr>
      <w:r>
        <w:rPr>
          <w:iCs/>
        </w:rPr>
        <w:t>Ястребов А.И.</w:t>
      </w:r>
      <w:r>
        <w:rPr>
          <w:iCs/>
        </w:rPr>
        <w:tab/>
      </w:r>
      <w:r>
        <w:rPr>
          <w:iCs/>
        </w:rPr>
        <w:t xml:space="preserve">         — инженер</w:t>
      </w:r>
    </w:p>
    <w:p>
      <w:pPr>
        <w:jc w:val="both"/>
        <w:rPr>
          <w:iCs/>
        </w:rPr>
      </w:pPr>
      <w:r>
        <w:rPr>
          <w:iCs/>
        </w:rPr>
        <w:t>Косинова А.А.                   — инженер</w:t>
      </w:r>
    </w:p>
    <w:p>
      <w:pPr>
        <w:jc w:val="both"/>
        <w:rPr>
          <w:iCs/>
        </w:rPr>
      </w:pPr>
      <w:r>
        <w:rPr>
          <w:iCs/>
        </w:rPr>
        <w:t>Щербакова А.А.                — инженер</w:t>
      </w:r>
    </w:p>
    <w:p>
      <w:pPr>
        <w:jc w:val="both"/>
        <w:rPr>
          <w:iCs/>
        </w:rPr>
      </w:pPr>
      <w:r>
        <w:rPr>
          <w:iCs/>
        </w:rPr>
        <w:t>Бобкова Я.А.                     — инженер</w:t>
      </w:r>
    </w:p>
    <w:p>
      <w:pPr>
        <w:jc w:val="both"/>
        <w:rPr>
          <w:iCs/>
        </w:rPr>
      </w:pPr>
      <w:r>
        <w:rPr>
          <w:iCs/>
        </w:rPr>
        <w:t>Петрухин Е.Е.                   — инженер</w:t>
      </w:r>
    </w:p>
    <w:p>
      <w:pPr>
        <w:jc w:val="both"/>
        <w:rPr>
          <w:iCs/>
        </w:rPr>
      </w:pPr>
      <w:r>
        <w:rPr>
          <w:iCs/>
        </w:rPr>
        <w:t>Орлова Е.С.                       — инженер</w:t>
      </w:r>
    </w:p>
    <w:p/>
    <w:p>
      <w:pPr>
        <w:spacing w:after="0" w:line="240" w:lineRule="auto"/>
        <w:rPr>
          <w:rFonts w:eastAsia="Times New Roman"/>
          <w:b/>
          <w:bCs/>
          <w:kern w:val="32"/>
          <w:sz w:val="32"/>
          <w:szCs w:val="32"/>
          <w:lang w:eastAsia="ru-RU"/>
        </w:rPr>
      </w:pPr>
    </w:p>
    <w:p>
      <w:pPr>
        <w:pStyle w:val="2"/>
        <w:keepLines/>
        <w:pageBreakBefore/>
        <w:tabs>
          <w:tab w:val="left" w:pos="0"/>
        </w:tabs>
        <w:suppressAutoHyphens/>
        <w:spacing w:before="0" w:after="240" w:line="360" w:lineRule="auto"/>
        <w:jc w:val="center"/>
        <w:rPr>
          <w:rFonts w:ascii="Times New Roman" w:hAnsi="Times New Roman"/>
        </w:rPr>
      </w:pPr>
      <w:bookmarkStart w:id="18" w:name="_Toc57203183"/>
      <w:r>
        <w:rPr>
          <w:rFonts w:ascii="Times New Roman" w:hAnsi="Times New Roman"/>
        </w:rPr>
        <w:t>СОДЕРЖАНИЕ</w:t>
      </w:r>
      <w:bookmarkEnd w:id="9"/>
      <w:bookmarkEnd w:id="10"/>
      <w:bookmarkEnd w:id="11"/>
      <w:bookmarkEnd w:id="12"/>
      <w:bookmarkEnd w:id="13"/>
      <w:bookmarkEnd w:id="14"/>
      <w:bookmarkEnd w:id="18"/>
    </w:p>
    <w:p>
      <w:pPr>
        <w:pStyle w:val="60"/>
        <w:rPr>
          <w:rFonts w:asciiTheme="minorHAnsi" w:hAnsiTheme="minorHAnsi" w:eastAsiaTheme="minorEastAsia" w:cstheme="minorBidi"/>
          <w:kern w:val="0"/>
          <w:sz w:val="22"/>
          <w:szCs w:val="22"/>
        </w:rPr>
      </w:pPr>
      <w:r>
        <w:fldChar w:fldCharType="begin"/>
      </w:r>
      <w:r>
        <w:instrText xml:space="preserve"> TOC \o "1-3" \u </w:instrText>
      </w:r>
      <w:r>
        <w:fldChar w:fldCharType="separate"/>
      </w:r>
    </w:p>
    <w:p>
      <w:pPr>
        <w:pStyle w:val="60"/>
        <w:ind w:left="0" w:firstLine="0"/>
        <w:rPr>
          <w:rFonts w:asciiTheme="minorHAnsi" w:hAnsiTheme="minorHAnsi" w:eastAsiaTheme="minorEastAsia" w:cstheme="minorBidi"/>
          <w:kern w:val="0"/>
          <w:sz w:val="22"/>
          <w:szCs w:val="22"/>
        </w:rPr>
      </w:pPr>
      <w:r>
        <w:t>СОДЕРЖАНИЕ</w:t>
      </w:r>
      <w:r>
        <w:tab/>
      </w:r>
      <w:r>
        <w:fldChar w:fldCharType="begin"/>
      </w:r>
      <w:r>
        <w:instrText xml:space="preserve"> PAGEREF _Toc57203183 \h </w:instrText>
      </w:r>
      <w:r>
        <w:fldChar w:fldCharType="separate"/>
      </w:r>
      <w:r>
        <w:t>4</w:t>
      </w:r>
      <w:r>
        <w:fldChar w:fldCharType="end"/>
      </w:r>
    </w:p>
    <w:p>
      <w:pPr>
        <w:pStyle w:val="60"/>
        <w:rPr>
          <w:rFonts w:asciiTheme="minorHAnsi" w:hAnsiTheme="minorHAnsi" w:eastAsiaTheme="minorEastAsia" w:cstheme="minorBidi"/>
          <w:kern w:val="0"/>
          <w:sz w:val="22"/>
          <w:szCs w:val="22"/>
        </w:rPr>
      </w:pPr>
      <w:r>
        <w:t>ВВЕДЕНИЕ</w:t>
      </w:r>
      <w:r>
        <w:tab/>
      </w:r>
      <w:r>
        <w:fldChar w:fldCharType="begin"/>
      </w:r>
      <w:r>
        <w:instrText xml:space="preserve"> PAGEREF _Toc57203184 \h </w:instrText>
      </w:r>
      <w:r>
        <w:fldChar w:fldCharType="separate"/>
      </w:r>
      <w:r>
        <w:t>6</w:t>
      </w:r>
      <w:r>
        <w:fldChar w:fldCharType="end"/>
      </w:r>
    </w:p>
    <w:p>
      <w:pPr>
        <w:pStyle w:val="60"/>
        <w:rPr>
          <w:rFonts w:asciiTheme="minorHAnsi" w:hAnsiTheme="minorHAnsi" w:eastAsiaTheme="minorEastAsia" w:cstheme="minorBidi"/>
          <w:kern w:val="0"/>
          <w:sz w:val="22"/>
          <w:szCs w:val="22"/>
        </w:rPr>
      </w:pPr>
      <w:r>
        <w:t>1.</w:t>
      </w:r>
      <w:r>
        <w:rPr>
          <w:rFonts w:asciiTheme="minorHAnsi" w:hAnsiTheme="minorHAnsi" w:eastAsiaTheme="minorEastAsia" w:cstheme="minorBidi"/>
          <w:kern w:val="0"/>
          <w:sz w:val="22"/>
          <w:szCs w:val="22"/>
        </w:rPr>
        <w:tab/>
      </w:r>
      <w:r>
        <w:t>ОБЩИЕ СВЕДЕНИЯ О МУНИЦИПАЛЬНОМ ОБРАЗОВАНИИ</w:t>
      </w:r>
      <w:r>
        <w:tab/>
      </w:r>
      <w:r>
        <w:fldChar w:fldCharType="begin"/>
      </w:r>
      <w:r>
        <w:instrText xml:space="preserve"> PAGEREF _Toc57203185 \h </w:instrText>
      </w:r>
      <w:r>
        <w:fldChar w:fldCharType="separate"/>
      </w:r>
      <w:r>
        <w:t>9</w:t>
      </w:r>
      <w:r>
        <w:fldChar w:fldCharType="end"/>
      </w:r>
    </w:p>
    <w:p>
      <w:pPr>
        <w:pStyle w:val="63"/>
        <w:rPr>
          <w:rFonts w:asciiTheme="minorHAnsi" w:hAnsiTheme="minorHAnsi" w:eastAsiaTheme="minorEastAsia" w:cstheme="minorBidi"/>
          <w:kern w:val="0"/>
          <w:sz w:val="22"/>
          <w:szCs w:val="22"/>
        </w:rPr>
      </w:pPr>
      <w:r>
        <w:t>1.1 Общие сведения о муниципальном образовании</w:t>
      </w:r>
      <w:r>
        <w:tab/>
      </w:r>
      <w:r>
        <w:fldChar w:fldCharType="begin"/>
      </w:r>
      <w:r>
        <w:instrText xml:space="preserve"> PAGEREF _Toc57203186 \h </w:instrText>
      </w:r>
      <w:r>
        <w:fldChar w:fldCharType="separate"/>
      </w:r>
      <w:r>
        <w:t>9</w:t>
      </w:r>
      <w:r>
        <w:fldChar w:fldCharType="end"/>
      </w:r>
    </w:p>
    <w:p>
      <w:pPr>
        <w:pStyle w:val="63"/>
        <w:rPr>
          <w:rFonts w:asciiTheme="minorHAnsi" w:hAnsiTheme="minorHAnsi" w:eastAsiaTheme="minorEastAsia" w:cstheme="minorBidi"/>
          <w:kern w:val="0"/>
          <w:sz w:val="22"/>
          <w:szCs w:val="22"/>
        </w:rPr>
      </w:pPr>
      <w:r>
        <w:t xml:space="preserve">1.2 Административное устройство муниципального образования. Границы муниципального </w:t>
      </w:r>
      <w:bookmarkStart w:id="255" w:name="_GoBack"/>
      <w:bookmarkEnd w:id="255"/>
      <w:r>
        <w:t>образования</w:t>
      </w:r>
      <w:r>
        <w:tab/>
      </w:r>
      <w:r>
        <w:fldChar w:fldCharType="begin"/>
      </w:r>
      <w:r>
        <w:instrText xml:space="preserve"> PAGEREF _Toc57203187 \h </w:instrText>
      </w:r>
      <w:r>
        <w:fldChar w:fldCharType="separate"/>
      </w:r>
      <w:r>
        <w:t>11</w:t>
      </w:r>
      <w:r>
        <w:fldChar w:fldCharType="end"/>
      </w:r>
    </w:p>
    <w:p>
      <w:pPr>
        <w:pStyle w:val="63"/>
        <w:rPr>
          <w:rFonts w:asciiTheme="minorHAnsi" w:hAnsiTheme="minorHAnsi" w:eastAsiaTheme="minorEastAsia" w:cstheme="minorBidi"/>
          <w:kern w:val="0"/>
          <w:sz w:val="22"/>
          <w:szCs w:val="22"/>
        </w:rPr>
      </w:pPr>
      <w:r>
        <w:t>1.3 Природные условия и ресурсы</w:t>
      </w:r>
      <w:r>
        <w:tab/>
      </w:r>
      <w:r>
        <w:fldChar w:fldCharType="begin"/>
      </w:r>
      <w:r>
        <w:instrText xml:space="preserve"> PAGEREF _Toc57203188 \h </w:instrText>
      </w:r>
      <w:r>
        <w:fldChar w:fldCharType="separate"/>
      </w:r>
      <w:r>
        <w:t>11</w:t>
      </w:r>
      <w:r>
        <w:fldChar w:fldCharType="end"/>
      </w:r>
    </w:p>
    <w:p>
      <w:pPr>
        <w:pStyle w:val="62"/>
        <w:rPr>
          <w:rFonts w:asciiTheme="minorHAnsi" w:hAnsiTheme="minorHAnsi" w:eastAsiaTheme="minorEastAsia" w:cstheme="minorBidi"/>
          <w:kern w:val="0"/>
          <w:sz w:val="22"/>
          <w:szCs w:val="22"/>
        </w:rPr>
      </w:pPr>
      <w:r>
        <w:rPr>
          <w:kern w:val="32"/>
        </w:rPr>
        <w:t>1.3.1 Климатические условия</w:t>
      </w:r>
      <w:r>
        <w:tab/>
      </w:r>
      <w:r>
        <w:fldChar w:fldCharType="begin"/>
      </w:r>
      <w:r>
        <w:instrText xml:space="preserve"> PAGEREF _Toc57203189 \h </w:instrText>
      </w:r>
      <w:r>
        <w:fldChar w:fldCharType="separate"/>
      </w:r>
      <w:r>
        <w:t>11</w:t>
      </w:r>
      <w:r>
        <w:fldChar w:fldCharType="end"/>
      </w:r>
    </w:p>
    <w:p>
      <w:pPr>
        <w:pStyle w:val="62"/>
        <w:rPr>
          <w:rFonts w:asciiTheme="minorHAnsi" w:hAnsiTheme="minorHAnsi" w:eastAsiaTheme="minorEastAsia" w:cstheme="minorBidi"/>
          <w:kern w:val="0"/>
          <w:sz w:val="22"/>
          <w:szCs w:val="22"/>
        </w:rPr>
      </w:pPr>
      <w:r>
        <w:rPr>
          <w:kern w:val="32"/>
        </w:rPr>
        <w:t>1.3.2</w:t>
      </w:r>
      <w:r>
        <w:rPr>
          <w:rFonts w:asciiTheme="minorHAnsi" w:hAnsiTheme="minorHAnsi" w:eastAsiaTheme="minorEastAsia" w:cstheme="minorBidi"/>
          <w:kern w:val="0"/>
          <w:sz w:val="22"/>
          <w:szCs w:val="22"/>
        </w:rPr>
        <w:tab/>
      </w:r>
      <w:r>
        <w:rPr>
          <w:kern w:val="32"/>
        </w:rPr>
        <w:t>Гидрография. Гидрогеология</w:t>
      </w:r>
      <w:r>
        <w:tab/>
      </w:r>
      <w:r>
        <w:fldChar w:fldCharType="begin"/>
      </w:r>
      <w:r>
        <w:instrText xml:space="preserve"> PAGEREF _Toc57203190 \h </w:instrText>
      </w:r>
      <w:r>
        <w:fldChar w:fldCharType="separate"/>
      </w:r>
      <w:r>
        <w:t>16</w:t>
      </w:r>
      <w:r>
        <w:fldChar w:fldCharType="end"/>
      </w:r>
    </w:p>
    <w:p>
      <w:pPr>
        <w:pStyle w:val="62"/>
        <w:rPr>
          <w:rFonts w:asciiTheme="minorHAnsi" w:hAnsiTheme="minorHAnsi" w:eastAsiaTheme="minorEastAsia" w:cstheme="minorBidi"/>
          <w:kern w:val="0"/>
          <w:sz w:val="22"/>
          <w:szCs w:val="22"/>
        </w:rPr>
      </w:pPr>
      <w:r>
        <w:rPr>
          <w:kern w:val="32"/>
        </w:rPr>
        <w:t>1.3.3.</w:t>
      </w:r>
      <w:r>
        <w:rPr>
          <w:rFonts w:asciiTheme="minorHAnsi" w:hAnsiTheme="minorHAnsi" w:eastAsiaTheme="minorEastAsia" w:cstheme="minorBidi"/>
          <w:kern w:val="0"/>
          <w:sz w:val="22"/>
          <w:szCs w:val="22"/>
        </w:rPr>
        <w:tab/>
      </w:r>
      <w:r>
        <w:rPr>
          <w:kern w:val="32"/>
        </w:rPr>
        <w:t>Рельеф. Геологическое строение</w:t>
      </w:r>
      <w:r>
        <w:tab/>
      </w:r>
      <w:r>
        <w:fldChar w:fldCharType="begin"/>
      </w:r>
      <w:r>
        <w:instrText xml:space="preserve"> PAGEREF _Toc57203191 \h </w:instrText>
      </w:r>
      <w:r>
        <w:fldChar w:fldCharType="separate"/>
      </w:r>
      <w:r>
        <w:t>17</w:t>
      </w:r>
      <w:r>
        <w:fldChar w:fldCharType="end"/>
      </w:r>
    </w:p>
    <w:p>
      <w:pPr>
        <w:pStyle w:val="60"/>
        <w:rPr>
          <w:rFonts w:asciiTheme="minorHAnsi" w:hAnsiTheme="minorHAnsi" w:eastAsiaTheme="minorEastAsia" w:cstheme="minorBidi"/>
          <w:kern w:val="0"/>
          <w:sz w:val="22"/>
          <w:szCs w:val="22"/>
        </w:rPr>
      </w:pPr>
      <w:r>
        <w:t>2.</w:t>
      </w:r>
      <w:r>
        <w:rPr>
          <w:rFonts w:asciiTheme="minorHAnsi" w:hAnsiTheme="minorHAnsi" w:eastAsiaTheme="minorEastAsia" w:cstheme="minorBidi"/>
          <w:kern w:val="0"/>
          <w:sz w:val="22"/>
          <w:szCs w:val="22"/>
        </w:rPr>
        <w:tab/>
      </w:r>
      <w:r>
        <w:t>ОБОСНОВАНИЕ ВЫБРАННОГО ВАРИАНТА РАЗМЕЩЕНИЯ ОБЪЕКТОВ МЕСТНОГО ЗНАЧЕНИЯ НА ОСНОВЕ АНАЛИЗА ИСПОЛЬЗОВАНИЯ ТЕРРИТОРИЙ МУНИЦИПАЛЬНОГО ОБРАЗОВАНИЯ</w:t>
      </w:r>
      <w:r>
        <w:tab/>
      </w:r>
      <w:r>
        <w:fldChar w:fldCharType="begin"/>
      </w:r>
      <w:r>
        <w:instrText xml:space="preserve"> PAGEREF _Toc57203192 \h </w:instrText>
      </w:r>
      <w:r>
        <w:fldChar w:fldCharType="separate"/>
      </w:r>
      <w:r>
        <w:t>20</w:t>
      </w:r>
      <w:r>
        <w:fldChar w:fldCharType="end"/>
      </w:r>
    </w:p>
    <w:p>
      <w:pPr>
        <w:pStyle w:val="63"/>
        <w:rPr>
          <w:rFonts w:asciiTheme="minorHAnsi" w:hAnsiTheme="minorHAnsi" w:eastAsiaTheme="minorEastAsia" w:cstheme="minorBidi"/>
          <w:kern w:val="0"/>
          <w:sz w:val="22"/>
          <w:szCs w:val="22"/>
        </w:rPr>
      </w:pPr>
      <w:r>
        <w:t>2.1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r>
        <w:tab/>
      </w:r>
      <w:r>
        <w:fldChar w:fldCharType="begin"/>
      </w:r>
      <w:r>
        <w:instrText xml:space="preserve"> PAGEREF _Toc57203193 \h </w:instrText>
      </w:r>
      <w:r>
        <w:fldChar w:fldCharType="separate"/>
      </w:r>
      <w:r>
        <w:t>21</w:t>
      </w:r>
      <w:r>
        <w:fldChar w:fldCharType="end"/>
      </w:r>
    </w:p>
    <w:p>
      <w:pPr>
        <w:pStyle w:val="63"/>
        <w:rPr>
          <w:rFonts w:asciiTheme="minorHAnsi" w:hAnsiTheme="minorHAnsi" w:eastAsiaTheme="minorEastAsia" w:cstheme="minorBidi"/>
          <w:kern w:val="0"/>
          <w:sz w:val="22"/>
          <w:szCs w:val="22"/>
        </w:rPr>
      </w:pPr>
      <w:r>
        <w:t>2.2 Территориально-планировочная организация муниципального образования. Баланс земель территории муниципального образования</w:t>
      </w:r>
      <w:r>
        <w:tab/>
      </w:r>
      <w:r>
        <w:fldChar w:fldCharType="begin"/>
      </w:r>
      <w:r>
        <w:instrText xml:space="preserve"> PAGEREF _Toc57203194 \h </w:instrText>
      </w:r>
      <w:r>
        <w:fldChar w:fldCharType="separate"/>
      </w:r>
      <w:r>
        <w:t>22</w:t>
      </w:r>
      <w:r>
        <w:fldChar w:fldCharType="end"/>
      </w:r>
    </w:p>
    <w:p>
      <w:pPr>
        <w:pStyle w:val="63"/>
        <w:tabs>
          <w:tab w:val="left" w:pos="1134"/>
        </w:tabs>
        <w:rPr>
          <w:rFonts w:asciiTheme="minorHAnsi" w:hAnsiTheme="minorHAnsi" w:eastAsiaTheme="minorEastAsia" w:cstheme="minorBidi"/>
          <w:kern w:val="0"/>
          <w:sz w:val="22"/>
          <w:szCs w:val="22"/>
        </w:rPr>
      </w:pPr>
      <w:r>
        <w:t>2.3</w:t>
      </w:r>
      <w:r>
        <w:rPr>
          <w:rFonts w:asciiTheme="minorHAnsi" w:hAnsiTheme="minorHAnsi" w:eastAsiaTheme="minorEastAsia" w:cstheme="minorBidi"/>
          <w:kern w:val="0"/>
          <w:sz w:val="22"/>
          <w:szCs w:val="22"/>
        </w:rPr>
        <w:tab/>
      </w:r>
      <w:r>
        <w:t>Экономическая база муниципального образования</w:t>
      </w:r>
      <w:r>
        <w:tab/>
      </w:r>
      <w:r>
        <w:fldChar w:fldCharType="begin"/>
      </w:r>
      <w:r>
        <w:instrText xml:space="preserve"> PAGEREF _Toc57203195 \h </w:instrText>
      </w:r>
      <w:r>
        <w:fldChar w:fldCharType="separate"/>
      </w:r>
      <w:r>
        <w:t>23</w:t>
      </w:r>
      <w:r>
        <w:fldChar w:fldCharType="end"/>
      </w:r>
    </w:p>
    <w:p>
      <w:pPr>
        <w:pStyle w:val="63"/>
        <w:tabs>
          <w:tab w:val="left" w:pos="1134"/>
        </w:tabs>
        <w:rPr>
          <w:rFonts w:asciiTheme="minorHAnsi" w:hAnsiTheme="minorHAnsi" w:eastAsiaTheme="minorEastAsia" w:cstheme="minorBidi"/>
          <w:kern w:val="0"/>
          <w:sz w:val="22"/>
          <w:szCs w:val="22"/>
        </w:rPr>
      </w:pPr>
      <w:r>
        <w:t>2.4</w:t>
      </w:r>
      <w:r>
        <w:rPr>
          <w:rFonts w:asciiTheme="minorHAnsi" w:hAnsiTheme="minorHAnsi" w:eastAsiaTheme="minorEastAsia" w:cstheme="minorBidi"/>
          <w:kern w:val="0"/>
          <w:sz w:val="22"/>
          <w:szCs w:val="22"/>
        </w:rPr>
        <w:tab/>
      </w:r>
      <w:r>
        <w:t>Население</w:t>
      </w:r>
      <w:r>
        <w:tab/>
      </w:r>
      <w:r>
        <w:fldChar w:fldCharType="begin"/>
      </w:r>
      <w:r>
        <w:instrText xml:space="preserve"> PAGEREF _Toc57203196 \h </w:instrText>
      </w:r>
      <w:r>
        <w:fldChar w:fldCharType="separate"/>
      </w:r>
      <w:r>
        <w:t>24</w:t>
      </w:r>
      <w:r>
        <w:fldChar w:fldCharType="end"/>
      </w:r>
    </w:p>
    <w:p>
      <w:pPr>
        <w:pStyle w:val="63"/>
        <w:tabs>
          <w:tab w:val="left" w:pos="1134"/>
        </w:tabs>
        <w:rPr>
          <w:rFonts w:asciiTheme="minorHAnsi" w:hAnsiTheme="minorHAnsi" w:eastAsiaTheme="minorEastAsia" w:cstheme="minorBidi"/>
          <w:kern w:val="0"/>
          <w:sz w:val="22"/>
          <w:szCs w:val="22"/>
        </w:rPr>
      </w:pPr>
      <w:r>
        <w:t>2.5</w:t>
      </w:r>
      <w:r>
        <w:rPr>
          <w:rFonts w:asciiTheme="minorHAnsi" w:hAnsiTheme="minorHAnsi" w:eastAsiaTheme="minorEastAsia" w:cstheme="minorBidi"/>
          <w:kern w:val="0"/>
          <w:sz w:val="22"/>
          <w:szCs w:val="22"/>
        </w:rPr>
        <w:tab/>
      </w:r>
      <w:r>
        <w:t>Жилищный фонд</w:t>
      </w:r>
      <w:r>
        <w:tab/>
      </w:r>
      <w:r>
        <w:fldChar w:fldCharType="begin"/>
      </w:r>
      <w:r>
        <w:instrText xml:space="preserve"> PAGEREF _Toc57203197 \h </w:instrText>
      </w:r>
      <w:r>
        <w:fldChar w:fldCharType="separate"/>
      </w:r>
      <w:r>
        <w:t>26</w:t>
      </w:r>
      <w:r>
        <w:fldChar w:fldCharType="end"/>
      </w:r>
    </w:p>
    <w:p>
      <w:pPr>
        <w:pStyle w:val="63"/>
        <w:tabs>
          <w:tab w:val="left" w:pos="1134"/>
        </w:tabs>
        <w:rPr>
          <w:rFonts w:asciiTheme="minorHAnsi" w:hAnsiTheme="minorHAnsi" w:eastAsiaTheme="minorEastAsia" w:cstheme="minorBidi"/>
          <w:kern w:val="0"/>
          <w:sz w:val="22"/>
          <w:szCs w:val="22"/>
        </w:rPr>
      </w:pPr>
      <w:r>
        <w:t>2.6</w:t>
      </w:r>
      <w:r>
        <w:rPr>
          <w:rFonts w:asciiTheme="minorHAnsi" w:hAnsiTheme="minorHAnsi" w:eastAsiaTheme="minorEastAsia" w:cstheme="minorBidi"/>
          <w:kern w:val="0"/>
          <w:sz w:val="22"/>
          <w:szCs w:val="22"/>
        </w:rPr>
        <w:tab/>
      </w:r>
      <w:r>
        <w:t>Система культурно-бытового обслуживания</w:t>
      </w:r>
      <w:r>
        <w:tab/>
      </w:r>
      <w:r>
        <w:fldChar w:fldCharType="begin"/>
      </w:r>
      <w:r>
        <w:instrText xml:space="preserve"> PAGEREF _Toc57203198 \h </w:instrText>
      </w:r>
      <w:r>
        <w:fldChar w:fldCharType="separate"/>
      </w:r>
      <w:r>
        <w:t>29</w:t>
      </w:r>
      <w:r>
        <w:fldChar w:fldCharType="end"/>
      </w:r>
    </w:p>
    <w:p>
      <w:pPr>
        <w:pStyle w:val="63"/>
        <w:tabs>
          <w:tab w:val="left" w:pos="1134"/>
        </w:tabs>
        <w:rPr>
          <w:rFonts w:asciiTheme="minorHAnsi" w:hAnsiTheme="minorHAnsi" w:eastAsiaTheme="minorEastAsia" w:cstheme="minorBidi"/>
          <w:kern w:val="0"/>
          <w:sz w:val="22"/>
          <w:szCs w:val="22"/>
        </w:rPr>
      </w:pPr>
      <w:r>
        <w:t>2.7</w:t>
      </w:r>
      <w:r>
        <w:rPr>
          <w:rFonts w:asciiTheme="minorHAnsi" w:hAnsiTheme="minorHAnsi" w:eastAsiaTheme="minorEastAsia" w:cstheme="minorBidi"/>
          <w:kern w:val="0"/>
          <w:sz w:val="22"/>
          <w:szCs w:val="22"/>
        </w:rPr>
        <w:tab/>
      </w:r>
      <w:r>
        <w:t>Транспортная инфраструктура муниципального образования</w:t>
      </w:r>
      <w:r>
        <w:tab/>
      </w:r>
      <w:r>
        <w:fldChar w:fldCharType="begin"/>
      </w:r>
      <w:r>
        <w:instrText xml:space="preserve"> PAGEREF _Toc57203199 \h </w:instrText>
      </w:r>
      <w:r>
        <w:fldChar w:fldCharType="separate"/>
      </w:r>
      <w:r>
        <w:t>36</w:t>
      </w:r>
      <w:r>
        <w:fldChar w:fldCharType="end"/>
      </w:r>
    </w:p>
    <w:p>
      <w:pPr>
        <w:pStyle w:val="62"/>
        <w:rPr>
          <w:rFonts w:asciiTheme="minorHAnsi" w:hAnsiTheme="minorHAnsi" w:eastAsiaTheme="minorEastAsia" w:cstheme="minorBidi"/>
          <w:kern w:val="0"/>
          <w:sz w:val="22"/>
          <w:szCs w:val="22"/>
        </w:rPr>
      </w:pPr>
      <w:r>
        <w:rPr>
          <w:kern w:val="32"/>
        </w:rPr>
        <w:t>2.7.1</w:t>
      </w:r>
      <w:r>
        <w:rPr>
          <w:rFonts w:asciiTheme="minorHAnsi" w:hAnsiTheme="minorHAnsi" w:eastAsiaTheme="minorEastAsia" w:cstheme="minorBidi"/>
          <w:kern w:val="0"/>
          <w:sz w:val="22"/>
          <w:szCs w:val="22"/>
        </w:rPr>
        <w:tab/>
      </w:r>
      <w:r>
        <w:rPr>
          <w:kern w:val="32"/>
        </w:rPr>
        <w:t>Внешний транспорт</w:t>
      </w:r>
      <w:r>
        <w:tab/>
      </w:r>
      <w:r>
        <w:fldChar w:fldCharType="begin"/>
      </w:r>
      <w:r>
        <w:instrText xml:space="preserve"> PAGEREF _Toc57203200 \h </w:instrText>
      </w:r>
      <w:r>
        <w:fldChar w:fldCharType="separate"/>
      </w:r>
      <w:r>
        <w:t>36</w:t>
      </w:r>
      <w:r>
        <w:fldChar w:fldCharType="end"/>
      </w:r>
    </w:p>
    <w:p>
      <w:pPr>
        <w:pStyle w:val="62"/>
        <w:rPr>
          <w:rFonts w:asciiTheme="minorHAnsi" w:hAnsiTheme="minorHAnsi" w:eastAsiaTheme="minorEastAsia" w:cstheme="minorBidi"/>
          <w:kern w:val="0"/>
          <w:sz w:val="22"/>
          <w:szCs w:val="22"/>
        </w:rPr>
      </w:pPr>
      <w:r>
        <w:rPr>
          <w:kern w:val="32"/>
        </w:rPr>
        <w:t>2.7.2</w:t>
      </w:r>
      <w:r>
        <w:rPr>
          <w:rFonts w:asciiTheme="minorHAnsi" w:hAnsiTheme="minorHAnsi" w:eastAsiaTheme="minorEastAsia" w:cstheme="minorBidi"/>
          <w:kern w:val="0"/>
          <w:sz w:val="22"/>
          <w:szCs w:val="22"/>
        </w:rPr>
        <w:tab/>
      </w:r>
      <w:r>
        <w:rPr>
          <w:kern w:val="32"/>
        </w:rPr>
        <w:t>Улично-дорожная сеть</w:t>
      </w:r>
      <w:r>
        <w:tab/>
      </w:r>
      <w:r>
        <w:fldChar w:fldCharType="begin"/>
      </w:r>
      <w:r>
        <w:instrText xml:space="preserve"> PAGEREF _Toc57203201 \h </w:instrText>
      </w:r>
      <w:r>
        <w:fldChar w:fldCharType="separate"/>
      </w:r>
      <w:r>
        <w:t>36</w:t>
      </w:r>
      <w:r>
        <w:fldChar w:fldCharType="end"/>
      </w:r>
    </w:p>
    <w:p>
      <w:pPr>
        <w:pStyle w:val="63"/>
        <w:tabs>
          <w:tab w:val="left" w:pos="1134"/>
        </w:tabs>
        <w:rPr>
          <w:rFonts w:asciiTheme="minorHAnsi" w:hAnsiTheme="minorHAnsi" w:eastAsiaTheme="minorEastAsia" w:cstheme="minorBidi"/>
          <w:kern w:val="0"/>
          <w:sz w:val="22"/>
          <w:szCs w:val="22"/>
        </w:rPr>
      </w:pPr>
      <w:r>
        <w:t>2.8</w:t>
      </w:r>
      <w:r>
        <w:rPr>
          <w:rFonts w:asciiTheme="minorHAnsi" w:hAnsiTheme="minorHAnsi" w:eastAsiaTheme="minorEastAsia" w:cstheme="minorBidi"/>
          <w:kern w:val="0"/>
          <w:sz w:val="22"/>
          <w:szCs w:val="22"/>
        </w:rPr>
        <w:tab/>
      </w:r>
      <w:r>
        <w:t>Инженерное оборудование территории</w:t>
      </w:r>
      <w:r>
        <w:tab/>
      </w:r>
      <w:r>
        <w:fldChar w:fldCharType="begin"/>
      </w:r>
      <w:r>
        <w:instrText xml:space="preserve"> PAGEREF _Toc57203202 \h </w:instrText>
      </w:r>
      <w:r>
        <w:fldChar w:fldCharType="separate"/>
      </w:r>
      <w:r>
        <w:t>39</w:t>
      </w:r>
      <w:r>
        <w:fldChar w:fldCharType="end"/>
      </w:r>
    </w:p>
    <w:p>
      <w:pPr>
        <w:pStyle w:val="62"/>
        <w:rPr>
          <w:rFonts w:asciiTheme="minorHAnsi" w:hAnsiTheme="minorHAnsi" w:eastAsiaTheme="minorEastAsia" w:cstheme="minorBidi"/>
          <w:kern w:val="0"/>
          <w:sz w:val="22"/>
          <w:szCs w:val="22"/>
        </w:rPr>
      </w:pPr>
      <w:r>
        <w:t>2.8.1</w:t>
      </w:r>
      <w:r>
        <w:rPr>
          <w:rFonts w:asciiTheme="minorHAnsi" w:hAnsiTheme="minorHAnsi" w:eastAsiaTheme="minorEastAsia" w:cstheme="minorBidi"/>
          <w:kern w:val="0"/>
          <w:sz w:val="22"/>
          <w:szCs w:val="22"/>
        </w:rPr>
        <w:tab/>
      </w:r>
      <w:r>
        <w:t>Водоснабжение</w:t>
      </w:r>
      <w:r>
        <w:tab/>
      </w:r>
      <w:r>
        <w:fldChar w:fldCharType="begin"/>
      </w:r>
      <w:r>
        <w:instrText xml:space="preserve"> PAGEREF _Toc57203203 \h </w:instrText>
      </w:r>
      <w:r>
        <w:fldChar w:fldCharType="separate"/>
      </w:r>
      <w:r>
        <w:t>39</w:t>
      </w:r>
      <w:r>
        <w:fldChar w:fldCharType="end"/>
      </w:r>
    </w:p>
    <w:p>
      <w:pPr>
        <w:pStyle w:val="62"/>
        <w:rPr>
          <w:rFonts w:asciiTheme="minorHAnsi" w:hAnsiTheme="minorHAnsi" w:eastAsiaTheme="minorEastAsia" w:cstheme="minorBidi"/>
          <w:kern w:val="0"/>
          <w:sz w:val="22"/>
          <w:szCs w:val="22"/>
        </w:rPr>
      </w:pPr>
      <w:r>
        <w:t>2.8.2</w:t>
      </w:r>
      <w:r>
        <w:rPr>
          <w:rFonts w:asciiTheme="minorHAnsi" w:hAnsiTheme="minorHAnsi" w:eastAsiaTheme="minorEastAsia" w:cstheme="minorBidi"/>
          <w:kern w:val="0"/>
          <w:sz w:val="22"/>
          <w:szCs w:val="22"/>
        </w:rPr>
        <w:tab/>
      </w:r>
      <w:r>
        <w:t>Водоотведение</w:t>
      </w:r>
      <w:r>
        <w:tab/>
      </w:r>
      <w:r>
        <w:fldChar w:fldCharType="begin"/>
      </w:r>
      <w:r>
        <w:instrText xml:space="preserve"> PAGEREF _Toc57203217 \h </w:instrText>
      </w:r>
      <w:r>
        <w:fldChar w:fldCharType="separate"/>
      </w:r>
      <w:r>
        <w:t>43</w:t>
      </w:r>
      <w:r>
        <w:fldChar w:fldCharType="end"/>
      </w:r>
    </w:p>
    <w:p>
      <w:pPr>
        <w:pStyle w:val="62"/>
        <w:rPr>
          <w:rFonts w:asciiTheme="minorHAnsi" w:hAnsiTheme="minorHAnsi" w:eastAsiaTheme="minorEastAsia" w:cstheme="minorBidi"/>
          <w:kern w:val="0"/>
          <w:sz w:val="22"/>
          <w:szCs w:val="22"/>
        </w:rPr>
      </w:pPr>
      <w:r>
        <w:t>2.8.3</w:t>
      </w:r>
      <w:r>
        <w:rPr>
          <w:rFonts w:asciiTheme="minorHAnsi" w:hAnsiTheme="minorHAnsi" w:eastAsiaTheme="minorEastAsia" w:cstheme="minorBidi"/>
          <w:kern w:val="0"/>
          <w:sz w:val="22"/>
          <w:szCs w:val="22"/>
        </w:rPr>
        <w:tab/>
      </w:r>
      <w:r>
        <w:t>Теплоснабжение</w:t>
      </w:r>
      <w:r>
        <w:tab/>
      </w:r>
      <w:r>
        <w:fldChar w:fldCharType="begin"/>
      </w:r>
      <w:r>
        <w:instrText xml:space="preserve"> PAGEREF _Toc57203218 \h </w:instrText>
      </w:r>
      <w:r>
        <w:fldChar w:fldCharType="separate"/>
      </w:r>
      <w:r>
        <w:t>44</w:t>
      </w:r>
      <w:r>
        <w:fldChar w:fldCharType="end"/>
      </w:r>
    </w:p>
    <w:p>
      <w:pPr>
        <w:pStyle w:val="62"/>
        <w:rPr>
          <w:rFonts w:asciiTheme="minorHAnsi" w:hAnsiTheme="minorHAnsi" w:eastAsiaTheme="minorEastAsia" w:cstheme="minorBidi"/>
          <w:kern w:val="0"/>
          <w:sz w:val="22"/>
          <w:szCs w:val="22"/>
        </w:rPr>
      </w:pPr>
      <w:r>
        <w:t>2.8.4</w:t>
      </w:r>
      <w:r>
        <w:rPr>
          <w:rFonts w:asciiTheme="minorHAnsi" w:hAnsiTheme="minorHAnsi" w:eastAsiaTheme="minorEastAsia" w:cstheme="minorBidi"/>
          <w:kern w:val="0"/>
          <w:sz w:val="22"/>
          <w:szCs w:val="22"/>
        </w:rPr>
        <w:tab/>
      </w:r>
      <w:r>
        <w:t>Газоснабжение</w:t>
      </w:r>
      <w:r>
        <w:tab/>
      </w:r>
      <w:r>
        <w:fldChar w:fldCharType="begin"/>
      </w:r>
      <w:r>
        <w:instrText xml:space="preserve"> PAGEREF _Toc57203219 \h </w:instrText>
      </w:r>
      <w:r>
        <w:fldChar w:fldCharType="separate"/>
      </w:r>
      <w:r>
        <w:t>48</w:t>
      </w:r>
      <w:r>
        <w:fldChar w:fldCharType="end"/>
      </w:r>
    </w:p>
    <w:p>
      <w:pPr>
        <w:pStyle w:val="62"/>
        <w:rPr>
          <w:rFonts w:asciiTheme="minorHAnsi" w:hAnsiTheme="minorHAnsi" w:eastAsiaTheme="minorEastAsia" w:cstheme="minorBidi"/>
          <w:kern w:val="0"/>
          <w:sz w:val="22"/>
          <w:szCs w:val="22"/>
        </w:rPr>
      </w:pPr>
      <w:r>
        <w:t>2.8.5</w:t>
      </w:r>
      <w:r>
        <w:rPr>
          <w:rFonts w:asciiTheme="minorHAnsi" w:hAnsiTheme="minorHAnsi" w:eastAsiaTheme="minorEastAsia" w:cstheme="minorBidi"/>
          <w:kern w:val="0"/>
          <w:sz w:val="22"/>
          <w:szCs w:val="22"/>
        </w:rPr>
        <w:tab/>
      </w:r>
      <w:r>
        <w:t>Электроснабжение</w:t>
      </w:r>
      <w:r>
        <w:tab/>
      </w:r>
      <w:r>
        <w:fldChar w:fldCharType="begin"/>
      </w:r>
      <w:r>
        <w:instrText xml:space="preserve"> PAGEREF _Toc57203220 \h </w:instrText>
      </w:r>
      <w:r>
        <w:fldChar w:fldCharType="separate"/>
      </w:r>
      <w:r>
        <w:t>50</w:t>
      </w:r>
      <w:r>
        <w:fldChar w:fldCharType="end"/>
      </w:r>
    </w:p>
    <w:p>
      <w:pPr>
        <w:pStyle w:val="62"/>
        <w:rPr>
          <w:rFonts w:asciiTheme="minorHAnsi" w:hAnsiTheme="minorHAnsi" w:eastAsiaTheme="minorEastAsia" w:cstheme="minorBidi"/>
          <w:kern w:val="0"/>
          <w:sz w:val="22"/>
          <w:szCs w:val="22"/>
        </w:rPr>
      </w:pPr>
      <w:r>
        <w:t>2.8.6</w:t>
      </w:r>
      <w:r>
        <w:rPr>
          <w:rFonts w:asciiTheme="minorHAnsi" w:hAnsiTheme="minorHAnsi" w:eastAsiaTheme="minorEastAsia" w:cstheme="minorBidi"/>
          <w:kern w:val="0"/>
          <w:sz w:val="22"/>
          <w:szCs w:val="22"/>
        </w:rPr>
        <w:tab/>
      </w:r>
      <w:r>
        <w:t>Связь, радиовещание, телевидение</w:t>
      </w:r>
      <w:r>
        <w:tab/>
      </w:r>
      <w:r>
        <w:fldChar w:fldCharType="begin"/>
      </w:r>
      <w:r>
        <w:instrText xml:space="preserve"> PAGEREF _Toc57203221 \h </w:instrText>
      </w:r>
      <w:r>
        <w:fldChar w:fldCharType="separate"/>
      </w:r>
      <w:r>
        <w:t>54</w:t>
      </w:r>
      <w:r>
        <w:fldChar w:fldCharType="end"/>
      </w:r>
    </w:p>
    <w:p>
      <w:pPr>
        <w:pStyle w:val="63"/>
        <w:tabs>
          <w:tab w:val="left" w:pos="1134"/>
        </w:tabs>
        <w:rPr>
          <w:rFonts w:asciiTheme="minorHAnsi" w:hAnsiTheme="minorHAnsi" w:eastAsiaTheme="minorEastAsia" w:cstheme="minorBidi"/>
          <w:kern w:val="0"/>
          <w:sz w:val="22"/>
          <w:szCs w:val="22"/>
        </w:rPr>
      </w:pPr>
      <w:r>
        <w:rPr>
          <w:kern w:val="32"/>
        </w:rPr>
        <w:t>2.9</w:t>
      </w:r>
      <w:r>
        <w:rPr>
          <w:rFonts w:asciiTheme="minorHAnsi" w:hAnsiTheme="minorHAnsi" w:eastAsiaTheme="minorEastAsia" w:cstheme="minorBidi"/>
          <w:kern w:val="0"/>
          <w:sz w:val="22"/>
          <w:szCs w:val="22"/>
        </w:rPr>
        <w:tab/>
      </w:r>
      <w:r>
        <w:rPr>
          <w:kern w:val="32"/>
        </w:rPr>
        <w:t>Инженерная подготовка территории</w:t>
      </w:r>
      <w:r>
        <w:tab/>
      </w:r>
      <w:r>
        <w:fldChar w:fldCharType="begin"/>
      </w:r>
      <w:r>
        <w:instrText xml:space="preserve"> PAGEREF _Toc57203222 \h </w:instrText>
      </w:r>
      <w:r>
        <w:fldChar w:fldCharType="separate"/>
      </w:r>
      <w:r>
        <w:t>57</w:t>
      </w:r>
      <w:r>
        <w:fldChar w:fldCharType="end"/>
      </w:r>
    </w:p>
    <w:p>
      <w:pPr>
        <w:pStyle w:val="63"/>
        <w:tabs>
          <w:tab w:val="left" w:pos="1134"/>
        </w:tabs>
        <w:rPr>
          <w:rFonts w:asciiTheme="minorHAnsi" w:hAnsiTheme="minorHAnsi" w:eastAsiaTheme="minorEastAsia" w:cstheme="minorBidi"/>
          <w:kern w:val="0"/>
          <w:sz w:val="22"/>
          <w:szCs w:val="22"/>
        </w:rPr>
      </w:pPr>
      <w:r>
        <w:t>2.10</w:t>
      </w:r>
      <w:r>
        <w:rPr>
          <w:rFonts w:asciiTheme="minorHAnsi" w:hAnsiTheme="minorHAnsi" w:eastAsiaTheme="minorEastAsia" w:cstheme="minorBidi"/>
          <w:kern w:val="0"/>
          <w:sz w:val="22"/>
          <w:szCs w:val="22"/>
        </w:rPr>
        <w:tab/>
      </w:r>
      <w:r>
        <w:t>Зеленый фонд муниципального образования</w:t>
      </w:r>
      <w:r>
        <w:tab/>
      </w:r>
      <w:r>
        <w:fldChar w:fldCharType="begin"/>
      </w:r>
      <w:r>
        <w:instrText xml:space="preserve"> PAGEREF _Toc57203223 \h </w:instrText>
      </w:r>
      <w:r>
        <w:fldChar w:fldCharType="separate"/>
      </w:r>
      <w:r>
        <w:t>57</w:t>
      </w:r>
      <w:r>
        <w:fldChar w:fldCharType="end"/>
      </w:r>
    </w:p>
    <w:p>
      <w:pPr>
        <w:pStyle w:val="63"/>
        <w:rPr>
          <w:rFonts w:asciiTheme="minorHAnsi" w:hAnsiTheme="minorHAnsi" w:eastAsiaTheme="minorEastAsia" w:cstheme="minorBidi"/>
          <w:kern w:val="0"/>
          <w:sz w:val="22"/>
          <w:szCs w:val="22"/>
        </w:rPr>
      </w:pPr>
      <w:r>
        <w:t>2.11</w:t>
      </w:r>
      <w:r>
        <w:rPr>
          <w:rFonts w:asciiTheme="minorHAnsi" w:hAnsiTheme="minorHAnsi" w:eastAsiaTheme="minorEastAsia" w:cstheme="minorBidi"/>
          <w:kern w:val="0"/>
          <w:sz w:val="22"/>
          <w:szCs w:val="22"/>
        </w:rPr>
        <w:tab/>
      </w:r>
      <w:r>
        <w:t>Санитарная очистка территории. Размещение кладбищ</w:t>
      </w:r>
      <w:r>
        <w:tab/>
      </w:r>
      <w:r>
        <w:fldChar w:fldCharType="begin"/>
      </w:r>
      <w:r>
        <w:instrText xml:space="preserve"> PAGEREF _Toc57203224 \h </w:instrText>
      </w:r>
      <w:r>
        <w:fldChar w:fldCharType="separate"/>
      </w:r>
      <w:r>
        <w:t>59</w:t>
      </w:r>
      <w:r>
        <w:fldChar w:fldCharType="end"/>
      </w:r>
    </w:p>
    <w:p>
      <w:pPr>
        <w:pStyle w:val="63"/>
        <w:tabs>
          <w:tab w:val="left" w:pos="1134"/>
        </w:tabs>
        <w:rPr>
          <w:rFonts w:asciiTheme="minorHAnsi" w:hAnsiTheme="minorHAnsi" w:eastAsiaTheme="minorEastAsia" w:cstheme="minorBidi"/>
          <w:kern w:val="0"/>
          <w:sz w:val="22"/>
          <w:szCs w:val="22"/>
        </w:rPr>
      </w:pPr>
      <w:r>
        <w:t>2.12</w:t>
      </w:r>
      <w:r>
        <w:rPr>
          <w:rFonts w:asciiTheme="minorHAnsi" w:hAnsiTheme="minorHAnsi" w:eastAsiaTheme="minorEastAsia" w:cstheme="minorBidi"/>
          <w:kern w:val="0"/>
          <w:sz w:val="22"/>
          <w:szCs w:val="22"/>
        </w:rPr>
        <w:tab/>
      </w:r>
      <w:r>
        <w:t>Санитарно-экологическое состояние окружающей среды</w:t>
      </w:r>
      <w:r>
        <w:tab/>
      </w:r>
      <w:r>
        <w:fldChar w:fldCharType="begin"/>
      </w:r>
      <w:r>
        <w:instrText xml:space="preserve"> PAGEREF _Toc57203225 \h </w:instrText>
      </w:r>
      <w:r>
        <w:fldChar w:fldCharType="separate"/>
      </w:r>
      <w:r>
        <w:t>60</w:t>
      </w:r>
      <w:r>
        <w:fldChar w:fldCharType="end"/>
      </w:r>
    </w:p>
    <w:p>
      <w:pPr>
        <w:pStyle w:val="63"/>
        <w:tabs>
          <w:tab w:val="left" w:pos="1134"/>
        </w:tabs>
        <w:rPr>
          <w:rFonts w:asciiTheme="minorHAnsi" w:hAnsiTheme="minorHAnsi" w:eastAsiaTheme="minorEastAsia" w:cstheme="minorBidi"/>
          <w:kern w:val="0"/>
          <w:sz w:val="22"/>
          <w:szCs w:val="22"/>
        </w:rPr>
      </w:pPr>
      <w:r>
        <w:t>2.13</w:t>
      </w:r>
      <w:r>
        <w:rPr>
          <w:rFonts w:asciiTheme="minorHAnsi" w:hAnsiTheme="minorHAnsi" w:eastAsiaTheme="minorEastAsia" w:cstheme="minorBidi"/>
          <w:kern w:val="0"/>
          <w:sz w:val="22"/>
          <w:szCs w:val="22"/>
        </w:rPr>
        <w:tab/>
      </w:r>
      <w:r>
        <w:t>Зоны с особыми условиями использования территорий</w:t>
      </w:r>
      <w:r>
        <w:tab/>
      </w:r>
      <w:r>
        <w:fldChar w:fldCharType="begin"/>
      </w:r>
      <w:r>
        <w:instrText xml:space="preserve"> PAGEREF _Toc57203226 \h </w:instrText>
      </w:r>
      <w:r>
        <w:fldChar w:fldCharType="separate"/>
      </w:r>
      <w:r>
        <w:t>63</w:t>
      </w:r>
      <w:r>
        <w:fldChar w:fldCharType="end"/>
      </w:r>
    </w:p>
    <w:p>
      <w:pPr>
        <w:pStyle w:val="62"/>
        <w:rPr>
          <w:rFonts w:asciiTheme="minorHAnsi" w:hAnsiTheme="minorHAnsi" w:eastAsiaTheme="minorEastAsia" w:cstheme="minorBidi"/>
          <w:kern w:val="0"/>
          <w:sz w:val="22"/>
          <w:szCs w:val="22"/>
        </w:rPr>
      </w:pPr>
      <w:r>
        <w:rPr>
          <w:kern w:val="32"/>
        </w:rPr>
        <w:t>2.13.1 Зоны особо охраняемых природных территорий</w:t>
      </w:r>
      <w:r>
        <w:tab/>
      </w:r>
      <w:r>
        <w:fldChar w:fldCharType="begin"/>
      </w:r>
      <w:r>
        <w:instrText xml:space="preserve"> PAGEREF _Toc57203227 \h </w:instrText>
      </w:r>
      <w:r>
        <w:fldChar w:fldCharType="separate"/>
      </w:r>
      <w:r>
        <w:t>63</w:t>
      </w:r>
      <w:r>
        <w:fldChar w:fldCharType="end"/>
      </w:r>
    </w:p>
    <w:p>
      <w:pPr>
        <w:pStyle w:val="62"/>
        <w:rPr>
          <w:rFonts w:asciiTheme="minorHAnsi" w:hAnsiTheme="minorHAnsi" w:eastAsiaTheme="minorEastAsia" w:cstheme="minorBidi"/>
          <w:kern w:val="0"/>
          <w:sz w:val="22"/>
          <w:szCs w:val="22"/>
        </w:rPr>
      </w:pPr>
      <w:r>
        <w:rPr>
          <w:kern w:val="32"/>
        </w:rPr>
        <w:t>2.13.2 Зоны охраны объектов культурного наследия</w:t>
      </w:r>
      <w:r>
        <w:tab/>
      </w:r>
      <w:r>
        <w:fldChar w:fldCharType="begin"/>
      </w:r>
      <w:r>
        <w:instrText xml:space="preserve"> PAGEREF _Toc57203228 \h </w:instrText>
      </w:r>
      <w:r>
        <w:fldChar w:fldCharType="separate"/>
      </w:r>
      <w:r>
        <w:t>63</w:t>
      </w:r>
      <w:r>
        <w:fldChar w:fldCharType="end"/>
      </w:r>
    </w:p>
    <w:p>
      <w:pPr>
        <w:pStyle w:val="62"/>
        <w:rPr>
          <w:rFonts w:asciiTheme="minorHAnsi" w:hAnsiTheme="minorHAnsi" w:eastAsiaTheme="minorEastAsia" w:cstheme="minorBidi"/>
          <w:kern w:val="0"/>
          <w:sz w:val="22"/>
          <w:szCs w:val="22"/>
        </w:rPr>
      </w:pPr>
      <w:r>
        <w:rPr>
          <w:kern w:val="32"/>
        </w:rPr>
        <w:t>2.13.3 Водоохранные зоны и прибрежные защитные полосы</w:t>
      </w:r>
      <w:r>
        <w:tab/>
      </w:r>
      <w:r>
        <w:fldChar w:fldCharType="begin"/>
      </w:r>
      <w:r>
        <w:instrText xml:space="preserve"> PAGEREF _Toc57203229 \h </w:instrText>
      </w:r>
      <w:r>
        <w:fldChar w:fldCharType="separate"/>
      </w:r>
      <w:r>
        <w:t>68</w:t>
      </w:r>
      <w:r>
        <w:fldChar w:fldCharType="end"/>
      </w:r>
    </w:p>
    <w:p>
      <w:pPr>
        <w:pStyle w:val="62"/>
        <w:rPr>
          <w:rFonts w:asciiTheme="minorHAnsi" w:hAnsiTheme="minorHAnsi" w:eastAsiaTheme="minorEastAsia" w:cstheme="minorBidi"/>
          <w:kern w:val="0"/>
          <w:sz w:val="22"/>
          <w:szCs w:val="22"/>
        </w:rPr>
      </w:pPr>
      <w:r>
        <w:rPr>
          <w:kern w:val="32"/>
        </w:rPr>
        <w:t>2.13.4 Зоны санитарной охраны источников питьевого водоснабжения</w:t>
      </w:r>
      <w:r>
        <w:tab/>
      </w:r>
      <w:r>
        <w:fldChar w:fldCharType="begin"/>
      </w:r>
      <w:r>
        <w:instrText xml:space="preserve"> PAGEREF _Toc57203230 \h </w:instrText>
      </w:r>
      <w:r>
        <w:fldChar w:fldCharType="separate"/>
      </w:r>
      <w:r>
        <w:t>70</w:t>
      </w:r>
      <w:r>
        <w:fldChar w:fldCharType="end"/>
      </w:r>
    </w:p>
    <w:p>
      <w:pPr>
        <w:pStyle w:val="62"/>
        <w:rPr>
          <w:rFonts w:asciiTheme="minorHAnsi" w:hAnsiTheme="minorHAnsi" w:eastAsiaTheme="minorEastAsia" w:cstheme="minorBidi"/>
          <w:kern w:val="0"/>
          <w:sz w:val="22"/>
          <w:szCs w:val="22"/>
        </w:rPr>
      </w:pPr>
      <w:r>
        <w:rPr>
          <w:kern w:val="32"/>
        </w:rPr>
        <w:t>2.13.5 Санитарно-защитные зоны</w:t>
      </w:r>
      <w:r>
        <w:tab/>
      </w:r>
      <w:r>
        <w:fldChar w:fldCharType="begin"/>
      </w:r>
      <w:r>
        <w:instrText xml:space="preserve"> PAGEREF _Toc57203231 \h </w:instrText>
      </w:r>
      <w:r>
        <w:fldChar w:fldCharType="separate"/>
      </w:r>
      <w:r>
        <w:t>79</w:t>
      </w:r>
      <w:r>
        <w:fldChar w:fldCharType="end"/>
      </w:r>
    </w:p>
    <w:p>
      <w:pPr>
        <w:pStyle w:val="60"/>
        <w:rPr>
          <w:rFonts w:asciiTheme="minorHAnsi" w:hAnsiTheme="minorHAnsi" w:eastAsiaTheme="minorEastAsia" w:cstheme="minorBidi"/>
          <w:kern w:val="0"/>
          <w:sz w:val="22"/>
          <w:szCs w:val="22"/>
        </w:rPr>
      </w:pPr>
      <w:r>
        <w:t>3.</w:t>
      </w:r>
      <w:r>
        <w:rPr>
          <w:rFonts w:asciiTheme="minorHAnsi" w:hAnsiTheme="minorHAnsi" w:eastAsiaTheme="minorEastAsia" w:cstheme="minorBidi"/>
          <w:kern w:val="0"/>
          <w:sz w:val="22"/>
          <w:szCs w:val="22"/>
        </w:rPr>
        <w:tab/>
      </w:r>
      <w:r>
        <w:t>ОЦЕНКА ВОЗМОЖНОГО ВЛИЯНИЯ ПЛАНИРУЕМЫХ ДЛЯ РАЗМЕЩЕНИЯ ОБЪЕКТОВ МЕСТНОГО ЗНАЧЕНИЯ НА КОМПЛЕКСНОЕ РАЗВИТИЕ</w:t>
      </w:r>
      <w:r>
        <w:tab/>
      </w:r>
      <w:r>
        <w:fldChar w:fldCharType="begin"/>
      </w:r>
      <w:r>
        <w:instrText xml:space="preserve"> PAGEREF _Toc57203232 \h </w:instrText>
      </w:r>
      <w:r>
        <w:fldChar w:fldCharType="separate"/>
      </w:r>
      <w:r>
        <w:t>83</w:t>
      </w:r>
      <w:r>
        <w:fldChar w:fldCharType="end"/>
      </w:r>
    </w:p>
    <w:p>
      <w:pPr>
        <w:pStyle w:val="60"/>
        <w:rPr>
          <w:rFonts w:asciiTheme="minorHAnsi" w:hAnsiTheme="minorHAnsi" w:eastAsiaTheme="minorEastAsia" w:cstheme="minorBidi"/>
          <w:kern w:val="0"/>
          <w:sz w:val="22"/>
          <w:szCs w:val="22"/>
        </w:rPr>
      </w:pPr>
      <w:r>
        <w:t>4.</w:t>
      </w:r>
      <w:r>
        <w:rPr>
          <w:rFonts w:asciiTheme="minorHAnsi" w:hAnsiTheme="minorHAnsi" w:eastAsiaTheme="minorEastAsia" w:cstheme="minorBidi"/>
          <w:kern w:val="0"/>
          <w:sz w:val="22"/>
          <w:szCs w:val="22"/>
        </w:rPr>
        <w:tab/>
      </w:r>
      <w:r>
        <w:t>МЕРОПРИЯТИЯ, УТВЕРЖДЕННЫЕ ДОКУМЕНТАМИ ТЕРРИТОРИАЛЬНОГО ПЛАНИРОВАНИЯ</w:t>
      </w:r>
      <w:r>
        <w:tab/>
      </w:r>
      <w:r>
        <w:fldChar w:fldCharType="begin"/>
      </w:r>
      <w:r>
        <w:instrText xml:space="preserve"> PAGEREF _Toc57203233 \h </w:instrText>
      </w:r>
      <w:r>
        <w:fldChar w:fldCharType="separate"/>
      </w:r>
      <w:r>
        <w:t>84</w:t>
      </w:r>
      <w:r>
        <w:fldChar w:fldCharType="end"/>
      </w:r>
    </w:p>
    <w:p>
      <w:pPr>
        <w:pStyle w:val="60"/>
        <w:rPr>
          <w:rFonts w:asciiTheme="minorHAnsi" w:hAnsiTheme="minorHAnsi" w:eastAsiaTheme="minorEastAsia" w:cstheme="minorBidi"/>
          <w:kern w:val="0"/>
          <w:sz w:val="22"/>
          <w:szCs w:val="22"/>
        </w:rPr>
      </w:pPr>
      <w:r>
        <w:t>5.</w:t>
      </w:r>
      <w:r>
        <w:rPr>
          <w:rFonts w:asciiTheme="minorHAnsi" w:hAnsiTheme="minorHAnsi" w:eastAsiaTheme="minorEastAsia" w:cstheme="minorBidi"/>
          <w:kern w:val="0"/>
          <w:sz w:val="22"/>
          <w:szCs w:val="22"/>
        </w:rPr>
        <w:tab/>
      </w:r>
      <w:r>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r>
        <w:tab/>
      </w:r>
      <w:r>
        <w:fldChar w:fldCharType="begin"/>
      </w:r>
      <w:r>
        <w:instrText xml:space="preserve"> PAGEREF _Toc57203234 \h </w:instrText>
      </w:r>
      <w:r>
        <w:fldChar w:fldCharType="separate"/>
      </w:r>
      <w:r>
        <w:t>85</w:t>
      </w:r>
      <w:r>
        <w:fldChar w:fldCharType="end"/>
      </w:r>
    </w:p>
    <w:p>
      <w:pPr>
        <w:pStyle w:val="60"/>
        <w:rPr>
          <w:rFonts w:asciiTheme="minorHAnsi" w:hAnsiTheme="minorHAnsi" w:eastAsiaTheme="minorEastAsia" w:cstheme="minorBidi"/>
          <w:kern w:val="0"/>
          <w:sz w:val="22"/>
          <w:szCs w:val="22"/>
        </w:rPr>
      </w:pPr>
      <w:r>
        <w:rPr>
          <w:bCs/>
          <w:kern w:val="32"/>
        </w:rPr>
        <w:t>6. СВЕДЕНИЯ ОБ УТВЕРЖДЕННЫХ ПРЕДМЕТАХ ОХРАНЫ И ГРАНИЦАХ ТЕРРИТОРИЙ ИСТОРИЧЕСКИХ ОБРАЗОВАНИЙ ФЕДЕРАЛЬНОГО ЗНАЧЕНИЯ И ИСТОРИЧЕСКИХ ОБРАЗОВАНИЙ РЕГИОНАЛЬНОГО ЗНАЧЕНИЯ</w:t>
      </w:r>
      <w:r>
        <w:tab/>
      </w:r>
      <w:r>
        <w:fldChar w:fldCharType="begin"/>
      </w:r>
      <w:r>
        <w:instrText xml:space="preserve"> PAGEREF _Toc57203235 \h </w:instrText>
      </w:r>
      <w:r>
        <w:fldChar w:fldCharType="separate"/>
      </w:r>
      <w:r>
        <w:t>86</w:t>
      </w:r>
      <w:r>
        <w:fldChar w:fldCharType="end"/>
      </w:r>
    </w:p>
    <w:p>
      <w:pPr>
        <w:pStyle w:val="60"/>
        <w:rPr>
          <w:rFonts w:asciiTheme="minorHAnsi" w:hAnsiTheme="minorHAnsi" w:eastAsiaTheme="minorEastAsia" w:cstheme="minorBidi"/>
          <w:kern w:val="0"/>
          <w:sz w:val="22"/>
          <w:szCs w:val="22"/>
        </w:rPr>
      </w:pPr>
      <w:r>
        <w:rPr>
          <w:bCs/>
          <w:kern w:val="0"/>
        </w:rPr>
        <w:t>7.</w:t>
      </w:r>
      <w:r>
        <w:t xml:space="preserve"> ПЕРЕЧЕНЬ И ХАРАКТЕРИСТИКА ОСНОВНЫХ ФАКТОРОВ РИСКА ВОЗНИКНОВЕНИЯ ЧС ПРИРОДНОГО И ТЕХНОГЕННОГО ХАРАКТЕРА</w:t>
      </w:r>
      <w:r>
        <w:tab/>
      </w:r>
      <w:r>
        <w:fldChar w:fldCharType="begin"/>
      </w:r>
      <w:r>
        <w:instrText xml:space="preserve"> PAGEREF _Toc57203236 \h </w:instrText>
      </w:r>
      <w:r>
        <w:fldChar w:fldCharType="separate"/>
      </w:r>
      <w:r>
        <w:t>87</w:t>
      </w:r>
      <w:r>
        <w:fldChar w:fldCharType="end"/>
      </w:r>
    </w:p>
    <w:p>
      <w:pPr>
        <w:pStyle w:val="60"/>
        <w:rPr>
          <w:rFonts w:asciiTheme="minorHAnsi" w:hAnsiTheme="minorHAnsi" w:eastAsiaTheme="minorEastAsia" w:cstheme="minorBidi"/>
          <w:kern w:val="0"/>
          <w:sz w:val="22"/>
          <w:szCs w:val="22"/>
        </w:rPr>
      </w:pPr>
      <w:r>
        <w:t>Основные технико-экономические показатели</w:t>
      </w:r>
      <w:r>
        <w:tab/>
      </w:r>
      <w:r>
        <w:fldChar w:fldCharType="begin"/>
      </w:r>
      <w:r>
        <w:instrText xml:space="preserve"> PAGEREF _Toc57203237 \h </w:instrText>
      </w:r>
      <w:r>
        <w:fldChar w:fldCharType="separate"/>
      </w:r>
      <w:r>
        <w:t>95</w:t>
      </w:r>
      <w:r>
        <w:fldChar w:fldCharType="end"/>
      </w:r>
    </w:p>
    <w:p>
      <w:pPr>
        <w:pStyle w:val="60"/>
        <w:rPr>
          <w:rFonts w:asciiTheme="minorHAnsi" w:hAnsiTheme="minorHAnsi" w:eastAsiaTheme="minorEastAsia" w:cstheme="minorBidi"/>
          <w:kern w:val="0"/>
          <w:sz w:val="22"/>
          <w:szCs w:val="22"/>
        </w:rPr>
      </w:pPr>
      <w:r>
        <w:t>СПИСОК ЛИТЕРАТУРЫ</w:t>
      </w:r>
      <w:r>
        <w:tab/>
      </w:r>
      <w:r>
        <w:fldChar w:fldCharType="begin"/>
      </w:r>
      <w:r>
        <w:instrText xml:space="preserve"> PAGEREF _Toc57203238 \h </w:instrText>
      </w:r>
      <w:r>
        <w:fldChar w:fldCharType="separate"/>
      </w:r>
      <w:r>
        <w:t>103</w:t>
      </w:r>
      <w:r>
        <w:fldChar w:fldCharType="end"/>
      </w:r>
    </w:p>
    <w:p>
      <w:pPr>
        <w:tabs>
          <w:tab w:val="right" w:leader="dot" w:pos="10065"/>
        </w:tabs>
        <w:suppressAutoHyphens/>
        <w:spacing w:after="0" w:line="360" w:lineRule="auto"/>
      </w:pPr>
      <w:r>
        <w:rPr>
          <w:lang w:eastAsia="ru-RU"/>
        </w:rPr>
        <w:fldChar w:fldCharType="end"/>
      </w:r>
    </w:p>
    <w:bookmarkEnd w:id="2"/>
    <w:bookmarkEnd w:id="3"/>
    <w:p>
      <w:pPr>
        <w:pStyle w:val="2"/>
        <w:keepLines/>
        <w:tabs>
          <w:tab w:val="left" w:pos="0"/>
        </w:tabs>
        <w:suppressAutoHyphens/>
        <w:spacing w:before="0" w:after="0" w:line="360" w:lineRule="auto"/>
        <w:jc w:val="center"/>
        <w:rPr>
          <w:rFonts w:ascii="Times New Roman" w:hAnsi="Times New Roman"/>
          <w:szCs w:val="30"/>
        </w:rPr>
      </w:pPr>
      <w:bookmarkStart w:id="19" w:name="_Toc268263621"/>
      <w:bookmarkStart w:id="20" w:name="_Toc342472300"/>
      <w:r>
        <w:rPr>
          <w:rFonts w:ascii="Times New Roman" w:hAnsi="Times New Roman"/>
          <w:szCs w:val="30"/>
        </w:rPr>
        <w:br w:type="page"/>
      </w:r>
      <w:bookmarkStart w:id="21" w:name="_Toc57203184"/>
      <w:r>
        <w:rPr>
          <w:rFonts w:ascii="Times New Roman" w:hAnsi="Times New Roman"/>
          <w:szCs w:val="30"/>
        </w:rPr>
        <w:t>ВВЕДЕНИЕ</w:t>
      </w:r>
      <w:bookmarkEnd w:id="4"/>
      <w:bookmarkEnd w:id="5"/>
      <w:bookmarkEnd w:id="6"/>
      <w:bookmarkEnd w:id="19"/>
      <w:bookmarkEnd w:id="20"/>
      <w:bookmarkEnd w:id="21"/>
    </w:p>
    <w:p>
      <w:pPr>
        <w:pStyle w:val="147"/>
        <w:suppressAutoHyphens/>
        <w:spacing w:after="0" w:line="360" w:lineRule="auto"/>
        <w:ind w:left="0" w:firstLine="851"/>
        <w:jc w:val="both"/>
        <w:rPr>
          <w:iCs/>
        </w:rPr>
      </w:pPr>
      <w:bookmarkStart w:id="22" w:name="OLE_LINK13"/>
      <w:bookmarkStart w:id="23" w:name="OLE_LINK9"/>
      <w:bookmarkStart w:id="24" w:name="OLE_LINK8"/>
      <w:r>
        <w:rPr>
          <w:iCs/>
        </w:rPr>
        <w:t xml:space="preserve">Разработка Генерального плана </w:t>
      </w:r>
      <w:r>
        <w:t>Ейскоукрепленского сельского поселения</w:t>
      </w:r>
      <w:r>
        <w:rPr>
          <w:iCs/>
        </w:rPr>
        <w:t xml:space="preserve"> (далее Генеральный план) осуществлена ООО "Центр Картографии и Территориального Планирования" в соответствии с муниципальным контрактом №03183000183200001010001 от 15.09.2020 г., заключенным с Заказчиком, которым выступает Администрация муниципального образования Щербиновский район.</w:t>
      </w:r>
    </w:p>
    <w:p>
      <w:pPr>
        <w:pStyle w:val="147"/>
        <w:suppressAutoHyphens/>
        <w:spacing w:after="0" w:line="360" w:lineRule="auto"/>
        <w:ind w:left="0" w:firstLine="851"/>
        <w:jc w:val="both"/>
        <w:rPr>
          <w:iCs/>
        </w:rPr>
      </w:pPr>
      <w:r>
        <w:rPr>
          <w:iCs/>
        </w:rPr>
        <w:t>Генеральный план разрабатывается в соответствии с Градостроительным кодексом Российской Федерации,</w:t>
      </w:r>
      <w:r>
        <w:t xml:space="preserve"> Методическими рекомендациями по разработке генеральных планов поселений и городских округов, СП 42.13330.2016, </w:t>
      </w:r>
      <w:r>
        <w:rPr>
          <w:iCs/>
        </w:rPr>
        <w:t>Уставом МО, а также в соответствии с целями и задачами развития Краснодарского края, сформулированными в документах территориального планирования, социально-экономического развития Краснодарского края.</w:t>
      </w:r>
    </w:p>
    <w:p>
      <w:pPr>
        <w:pStyle w:val="147"/>
        <w:suppressAutoHyphens/>
        <w:spacing w:after="0" w:line="360" w:lineRule="auto"/>
        <w:ind w:left="0" w:firstLine="851"/>
        <w:jc w:val="both"/>
        <w:rPr>
          <w:iCs/>
        </w:rPr>
      </w:pPr>
      <w:r>
        <w:rPr>
          <w:iCs/>
        </w:rPr>
        <w:t>Графическая часть генерального плана разработана на материалах с использованием следующих интернет порталов общего доступа: https://pkk.rosreestr.ru - «Публичная кадастровая карта»,</w:t>
      </w:r>
      <w:r>
        <w:t xml:space="preserve"> </w:t>
      </w:r>
      <w:r>
        <w:rPr>
          <w:iCs/>
        </w:rPr>
        <w:t>https://rosreestr.ru - Сайт Федеральной службы государственной регистрации, кадастра и картографии (Росреестр).</w:t>
      </w:r>
    </w:p>
    <w:p>
      <w:pPr>
        <w:pStyle w:val="147"/>
        <w:suppressAutoHyphens/>
        <w:spacing w:after="0" w:line="360" w:lineRule="auto"/>
        <w:ind w:left="0" w:firstLine="851"/>
        <w:jc w:val="both"/>
        <w:rPr>
          <w:iCs/>
        </w:rPr>
      </w:pPr>
      <w:r>
        <w:rPr>
          <w:iCs/>
        </w:rPr>
        <w:t xml:space="preserve">При разработке Генерального плана </w:t>
      </w:r>
      <w:r>
        <w:t>Ейскоукрепленского сельского поселения</w:t>
      </w:r>
      <w:r>
        <w:rPr>
          <w:iCs/>
        </w:rPr>
        <w:t xml:space="preserve"> использованы следующие периоды:</w:t>
      </w:r>
    </w:p>
    <w:p>
      <w:pPr>
        <w:pStyle w:val="147"/>
        <w:numPr>
          <w:ilvl w:val="0"/>
          <w:numId w:val="18"/>
        </w:numPr>
        <w:suppressAutoHyphens/>
        <w:spacing w:after="0" w:line="360" w:lineRule="auto"/>
        <w:jc w:val="both"/>
        <w:rPr>
          <w:iCs/>
        </w:rPr>
      </w:pPr>
      <w:r>
        <w:rPr>
          <w:iCs/>
        </w:rPr>
        <w:t>исходный год – 2020 год;</w:t>
      </w:r>
    </w:p>
    <w:p>
      <w:pPr>
        <w:pStyle w:val="147"/>
        <w:numPr>
          <w:ilvl w:val="0"/>
          <w:numId w:val="18"/>
        </w:numPr>
        <w:suppressAutoHyphens/>
        <w:spacing w:after="0" w:line="360" w:lineRule="auto"/>
        <w:jc w:val="both"/>
        <w:rPr>
          <w:iCs/>
        </w:rPr>
      </w:pPr>
      <w:r>
        <w:rPr>
          <w:iCs/>
        </w:rPr>
        <w:t>I очередь –2030 год;</w:t>
      </w:r>
    </w:p>
    <w:p>
      <w:pPr>
        <w:pStyle w:val="147"/>
        <w:numPr>
          <w:ilvl w:val="0"/>
          <w:numId w:val="18"/>
        </w:numPr>
        <w:suppressAutoHyphens/>
        <w:spacing w:after="0" w:line="360" w:lineRule="auto"/>
        <w:jc w:val="both"/>
        <w:rPr>
          <w:iCs/>
        </w:rPr>
      </w:pPr>
      <w:r>
        <w:rPr>
          <w:iCs/>
        </w:rPr>
        <w:t>расчетный срок –2040 год.</w:t>
      </w:r>
    </w:p>
    <w:p>
      <w:pPr>
        <w:widowControl w:val="0"/>
        <w:suppressAutoHyphens/>
        <w:spacing w:after="0" w:line="360" w:lineRule="auto"/>
        <w:ind w:firstLine="851"/>
        <w:jc w:val="center"/>
        <w:rPr>
          <w:b/>
          <w:bCs/>
          <w:sz w:val="28"/>
          <w:szCs w:val="28"/>
        </w:rPr>
      </w:pPr>
      <w:r>
        <w:rPr>
          <w:iCs/>
        </w:rPr>
        <w:br w:type="page"/>
      </w:r>
      <w:bookmarkEnd w:id="22"/>
      <w:bookmarkEnd w:id="23"/>
      <w:bookmarkEnd w:id="24"/>
      <w:bookmarkStart w:id="25" w:name="_Toc342472301"/>
      <w:r>
        <w:rPr>
          <w:b/>
          <w:bCs/>
          <w:sz w:val="28"/>
          <w:szCs w:val="28"/>
        </w:rPr>
        <w:t>Состав проектных материалов</w:t>
      </w:r>
    </w:p>
    <w:p>
      <w:pPr>
        <w:suppressAutoHyphens/>
        <w:spacing w:after="0" w:line="360" w:lineRule="auto"/>
        <w:ind w:firstLine="851"/>
        <w:jc w:val="both"/>
        <w:rPr>
          <w:b/>
          <w:i/>
          <w:u w:val="single"/>
        </w:rPr>
      </w:pPr>
      <w:r>
        <w:rPr>
          <w:b/>
          <w:i/>
          <w:u w:val="single"/>
        </w:rPr>
        <w:t>Содержание Генерального плана</w:t>
      </w:r>
    </w:p>
    <w:p>
      <w:pPr>
        <w:suppressAutoHyphens/>
        <w:spacing w:after="0" w:line="360" w:lineRule="auto"/>
        <w:ind w:firstLine="851"/>
        <w:jc w:val="both"/>
        <w:rPr>
          <w:b/>
          <w:i/>
        </w:rPr>
      </w:pPr>
      <w:r>
        <w:rPr>
          <w:b/>
          <w:i/>
        </w:rPr>
        <w:t>Том 1 «Положение о территориальном планировании»:</w:t>
      </w:r>
    </w:p>
    <w:p>
      <w:pPr>
        <w:pStyle w:val="147"/>
        <w:widowControl w:val="0"/>
        <w:numPr>
          <w:ilvl w:val="0"/>
          <w:numId w:val="19"/>
        </w:numPr>
        <w:tabs>
          <w:tab w:val="left" w:pos="1134"/>
        </w:tabs>
        <w:suppressAutoHyphens/>
        <w:spacing w:after="0" w:line="360" w:lineRule="auto"/>
        <w:ind w:left="709" w:firstLine="357"/>
        <w:jc w:val="both"/>
        <w:rPr>
          <w:bCs/>
        </w:rPr>
      </w:pPr>
      <w:r>
        <w:rPr>
          <w:bCs/>
        </w:rPr>
        <w:t>цели и задачи территориального планирования;</w:t>
      </w:r>
    </w:p>
    <w:p>
      <w:pPr>
        <w:pStyle w:val="147"/>
        <w:widowControl w:val="0"/>
        <w:numPr>
          <w:ilvl w:val="0"/>
          <w:numId w:val="19"/>
        </w:numPr>
        <w:tabs>
          <w:tab w:val="left" w:pos="1134"/>
        </w:tabs>
        <w:suppressAutoHyphens/>
        <w:spacing w:after="0" w:line="360" w:lineRule="auto"/>
        <w:ind w:left="709" w:firstLine="357"/>
        <w:jc w:val="both"/>
        <w:rPr>
          <w:bCs/>
        </w:rPr>
      </w:pPr>
      <w:r>
        <w:rPr>
          <w:bCs/>
        </w:rPr>
        <w:t>перечень мероприятий по территориальному планированию и указание на последовательность их выполнения.</w:t>
      </w:r>
    </w:p>
    <w:p>
      <w:pPr>
        <w:suppressAutoHyphens/>
        <w:spacing w:after="0" w:line="360" w:lineRule="auto"/>
        <w:ind w:firstLine="851"/>
        <w:jc w:val="both"/>
        <w:rPr>
          <w:b/>
          <w:i/>
        </w:rPr>
      </w:pPr>
      <w:r>
        <w:rPr>
          <w:b/>
          <w:i/>
        </w:rPr>
        <w:t>Альбом 1 «Проект внесения изменений в генеральный план Ейскоукрепленского сельского поселения Щербиновского района Краснодарского края (Графические материалы)»:</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планируемого размещения объектов местного значения поселения;</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границ населенных пунктов (в том числе границ образуемых населенных пунктов), входящих в состав поселения;</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функциональных зон поселения</w:t>
      </w:r>
      <w:r>
        <w:rPr>
          <w:bCs/>
          <w:lang w:val="en-US"/>
        </w:rPr>
        <w:t>;</w:t>
      </w:r>
    </w:p>
    <w:p>
      <w:pPr>
        <w:pStyle w:val="147"/>
        <w:widowControl w:val="0"/>
        <w:tabs>
          <w:tab w:val="left" w:pos="1134"/>
        </w:tabs>
        <w:suppressAutoHyphens/>
        <w:spacing w:after="0" w:line="360" w:lineRule="auto"/>
        <w:ind w:left="1066"/>
        <w:jc w:val="both"/>
        <w:rPr>
          <w:bCs/>
        </w:rPr>
      </w:pPr>
    </w:p>
    <w:p>
      <w:pPr>
        <w:suppressAutoHyphens/>
        <w:spacing w:after="0" w:line="360" w:lineRule="auto"/>
        <w:ind w:firstLine="851"/>
        <w:jc w:val="both"/>
        <w:rPr>
          <w:b/>
          <w:i/>
          <w:u w:val="single"/>
        </w:rPr>
      </w:pPr>
      <w:r>
        <w:rPr>
          <w:b/>
          <w:i/>
          <w:u w:val="single"/>
        </w:rPr>
        <w:t>Содержание прилагаемых к генеральному плану материалов:</w:t>
      </w:r>
    </w:p>
    <w:p>
      <w:pPr>
        <w:suppressAutoHyphens/>
        <w:spacing w:after="0" w:line="360" w:lineRule="auto"/>
        <w:ind w:firstLine="851"/>
        <w:jc w:val="both"/>
        <w:rPr>
          <w:b/>
          <w:i/>
        </w:rPr>
      </w:pPr>
      <w:r>
        <w:rPr>
          <w:b/>
          <w:i/>
        </w:rPr>
        <w:t>Том 2 «Материалы по обоснованию генерального плана»:</w:t>
      </w:r>
    </w:p>
    <w:p>
      <w:pPr>
        <w:pStyle w:val="147"/>
        <w:widowControl w:val="0"/>
        <w:numPr>
          <w:ilvl w:val="0"/>
          <w:numId w:val="19"/>
        </w:numPr>
        <w:tabs>
          <w:tab w:val="left" w:pos="1134"/>
        </w:tabs>
        <w:suppressAutoHyphens/>
        <w:spacing w:after="0" w:line="360" w:lineRule="auto"/>
        <w:ind w:left="709" w:firstLine="357"/>
        <w:jc w:val="both"/>
        <w:rPr>
          <w:bCs/>
        </w:rPr>
      </w:pPr>
      <w:r>
        <w:rPr>
          <w:bCs/>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p>
    <w:p>
      <w:pPr>
        <w:pStyle w:val="147"/>
        <w:widowControl w:val="0"/>
        <w:numPr>
          <w:ilvl w:val="0"/>
          <w:numId w:val="19"/>
        </w:numPr>
        <w:tabs>
          <w:tab w:val="left" w:pos="1134"/>
        </w:tabs>
        <w:suppressAutoHyphens/>
        <w:spacing w:after="0" w:line="360" w:lineRule="auto"/>
        <w:ind w:left="709" w:firstLine="357"/>
        <w:jc w:val="both"/>
        <w:rPr>
          <w:bCs/>
        </w:rPr>
      </w:pPr>
      <w:r>
        <w:rPr>
          <w:bCs/>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147"/>
        <w:widowControl w:val="0"/>
        <w:numPr>
          <w:ilvl w:val="0"/>
          <w:numId w:val="19"/>
        </w:numPr>
        <w:tabs>
          <w:tab w:val="left" w:pos="1134"/>
        </w:tabs>
        <w:suppressAutoHyphens/>
        <w:spacing w:after="0" w:line="360" w:lineRule="auto"/>
        <w:ind w:left="709" w:firstLine="357"/>
        <w:jc w:val="both"/>
        <w:rPr>
          <w:bCs/>
        </w:rPr>
      </w:pPr>
      <w:r>
        <w:rPr>
          <w:bCs/>
        </w:rPr>
        <w:t>оценку возможного влияния планируемых для размещения объектов местного значения поселения на комплексное развитие этих территорий;</w:t>
      </w:r>
    </w:p>
    <w:p>
      <w:pPr>
        <w:pStyle w:val="147"/>
        <w:widowControl w:val="0"/>
        <w:numPr>
          <w:ilvl w:val="0"/>
          <w:numId w:val="19"/>
        </w:numPr>
        <w:tabs>
          <w:tab w:val="left" w:pos="1134"/>
        </w:tabs>
        <w:suppressAutoHyphens/>
        <w:spacing w:after="0" w:line="360" w:lineRule="auto"/>
        <w:ind w:left="709" w:firstLine="357"/>
        <w:jc w:val="both"/>
        <w:rPr>
          <w:bCs/>
        </w:rPr>
      </w:pPr>
      <w:r>
        <w:rPr>
          <w:bCs/>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147"/>
        <w:widowControl w:val="0"/>
        <w:numPr>
          <w:ilvl w:val="0"/>
          <w:numId w:val="19"/>
        </w:numPr>
        <w:tabs>
          <w:tab w:val="left" w:pos="1134"/>
        </w:tabs>
        <w:suppressAutoHyphens/>
        <w:spacing w:after="0" w:line="360" w:lineRule="auto"/>
        <w:ind w:left="709" w:firstLine="357"/>
        <w:jc w:val="both"/>
        <w:rPr>
          <w:bCs/>
        </w:rPr>
      </w:pPr>
      <w:r>
        <w:rPr>
          <w:bCs/>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147"/>
        <w:widowControl w:val="0"/>
        <w:numPr>
          <w:ilvl w:val="0"/>
          <w:numId w:val="19"/>
        </w:numPr>
        <w:tabs>
          <w:tab w:val="left" w:pos="1134"/>
        </w:tabs>
        <w:suppressAutoHyphens/>
        <w:spacing w:after="0" w:line="360" w:lineRule="auto"/>
        <w:ind w:left="709" w:firstLine="357"/>
        <w:jc w:val="both"/>
        <w:rPr>
          <w:bCs/>
        </w:rPr>
      </w:pPr>
      <w:r>
        <w:rPr>
          <w:bCs/>
        </w:rPr>
        <w:t>перечень и характеристику основных факторов риска возникновения чрезвычайных ситуаций природного и техногенного характера;</w:t>
      </w:r>
    </w:p>
    <w:p>
      <w:pPr>
        <w:pStyle w:val="147"/>
        <w:widowControl w:val="0"/>
        <w:numPr>
          <w:ilvl w:val="0"/>
          <w:numId w:val="19"/>
        </w:numPr>
        <w:tabs>
          <w:tab w:val="left" w:pos="1134"/>
        </w:tabs>
        <w:suppressAutoHyphens/>
        <w:spacing w:after="0" w:line="360" w:lineRule="auto"/>
        <w:ind w:left="709" w:firstLine="357"/>
        <w:jc w:val="both"/>
        <w:rPr>
          <w:bCs/>
        </w:rPr>
      </w:pPr>
      <w:r>
        <w:rPr>
          <w:bCs/>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pPr>
        <w:pStyle w:val="147"/>
        <w:widowControl w:val="0"/>
        <w:numPr>
          <w:ilvl w:val="0"/>
          <w:numId w:val="19"/>
        </w:numPr>
        <w:tabs>
          <w:tab w:val="left" w:pos="1134"/>
        </w:tabs>
        <w:suppressAutoHyphens/>
        <w:spacing w:after="0" w:line="360" w:lineRule="auto"/>
        <w:ind w:left="709" w:firstLine="357"/>
        <w:jc w:val="both"/>
        <w:rPr>
          <w:bCs/>
        </w:rPr>
      </w:pPr>
      <w:r>
        <w:rPr>
          <w:bCs/>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pPr>
        <w:suppressAutoHyphens/>
        <w:spacing w:after="0" w:line="360" w:lineRule="auto"/>
        <w:ind w:firstLine="851"/>
        <w:jc w:val="both"/>
        <w:rPr>
          <w:b/>
          <w:i/>
        </w:rPr>
      </w:pPr>
      <w:r>
        <w:rPr>
          <w:b/>
          <w:i/>
        </w:rPr>
        <w:t>Альбом 2 «Графические материалы обоснования проекта генерального плана Ейскоукрепленского  сельского поселения Щербиновского района Краснодарского края:</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современного использования территории;</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границ зон с особыми условиями использования территорий и анализа комплексного развития территории и размещения объектов местного значения с учетом ограничений использования территории;</w:t>
      </w:r>
    </w:p>
    <w:p>
      <w:pPr>
        <w:pStyle w:val="147"/>
        <w:widowControl w:val="0"/>
        <w:numPr>
          <w:ilvl w:val="0"/>
          <w:numId w:val="19"/>
        </w:numPr>
        <w:tabs>
          <w:tab w:val="left" w:pos="1134"/>
        </w:tabs>
        <w:suppressAutoHyphens/>
        <w:spacing w:after="0" w:line="360" w:lineRule="auto"/>
        <w:ind w:left="709" w:firstLine="357"/>
        <w:jc w:val="both"/>
        <w:rPr>
          <w:bCs/>
        </w:rPr>
      </w:pPr>
      <w:r>
        <w:rPr>
          <w:bCs/>
        </w:rPr>
        <w:t>карта инженерной и транспортной инфраструктуры;</w:t>
      </w:r>
    </w:p>
    <w:p>
      <w:pPr>
        <w:pStyle w:val="147"/>
        <w:widowControl w:val="0"/>
        <w:numPr>
          <w:ilvl w:val="0"/>
          <w:numId w:val="19"/>
        </w:numPr>
        <w:tabs>
          <w:tab w:val="left" w:pos="1134"/>
        </w:tabs>
        <w:suppressAutoHyphens/>
        <w:spacing w:after="0" w:line="360" w:lineRule="auto"/>
        <w:ind w:left="709" w:firstLine="357"/>
        <w:jc w:val="both"/>
        <w:rPr>
          <w:bCs/>
        </w:rPr>
      </w:pPr>
      <w:r>
        <w:rPr>
          <w:bCs/>
        </w:rPr>
        <w:t xml:space="preserve"> карта границ территорий, подверженных риску возникновения чрезвычайных ситуаций природного и техногенного характера.</w:t>
      </w:r>
    </w:p>
    <w:p>
      <w:pPr>
        <w:pStyle w:val="147"/>
        <w:keepLines/>
        <w:suppressAutoHyphens/>
        <w:spacing w:after="0" w:line="360" w:lineRule="auto"/>
        <w:ind w:left="0"/>
        <w:rPr>
          <w:lang w:eastAsia="ru-RU"/>
        </w:rPr>
      </w:pPr>
    </w:p>
    <w:p>
      <w:pPr>
        <w:pStyle w:val="2"/>
        <w:keepLines/>
        <w:pageBreakBefore/>
        <w:numPr>
          <w:ilvl w:val="1"/>
          <w:numId w:val="20"/>
        </w:numPr>
        <w:suppressAutoHyphens/>
        <w:spacing w:before="0" w:after="480" w:line="360" w:lineRule="auto"/>
        <w:jc w:val="center"/>
        <w:rPr>
          <w:rFonts w:ascii="Times New Roman" w:hAnsi="Times New Roman"/>
        </w:rPr>
      </w:pPr>
      <w:bookmarkStart w:id="26" w:name="_Toc57203185"/>
      <w:r>
        <w:rPr>
          <w:rFonts w:ascii="Times New Roman" w:hAnsi="Times New Roman"/>
        </w:rPr>
        <w:t>ОБЩИЕ СВЕДЕНИЯ О МУНИЦИПАЛЬНОМ ОБРАЗОВАНИИ</w:t>
      </w:r>
      <w:bookmarkEnd w:id="25"/>
      <w:bookmarkEnd w:id="26"/>
    </w:p>
    <w:p>
      <w:pPr>
        <w:pStyle w:val="3"/>
        <w:keepLines/>
        <w:numPr>
          <w:ilvl w:val="2"/>
          <w:numId w:val="20"/>
        </w:numPr>
        <w:suppressAutoHyphens/>
        <w:spacing w:before="480" w:after="360" w:line="360" w:lineRule="auto"/>
        <w:ind w:left="0" w:firstLine="0"/>
        <w:jc w:val="center"/>
        <w:rPr>
          <w:rFonts w:ascii="Times New Roman" w:hAnsi="Times New Roman"/>
          <w:i w:val="0"/>
          <w:sz w:val="30"/>
          <w:szCs w:val="30"/>
        </w:rPr>
      </w:pPr>
      <w:bookmarkStart w:id="27" w:name="_Toc342472302"/>
      <w:bookmarkStart w:id="28" w:name="_Toc57203186"/>
      <w:bookmarkStart w:id="29" w:name="_Toc268263623"/>
      <w:bookmarkStart w:id="30" w:name="_Toc253729757"/>
      <w:bookmarkStart w:id="31" w:name="_Toc255383196"/>
      <w:bookmarkStart w:id="32" w:name="_Toc263243176"/>
      <w:bookmarkStart w:id="33" w:name="_Toc256429331"/>
      <w:bookmarkStart w:id="34" w:name="_Toc256375542"/>
      <w:r>
        <w:rPr>
          <w:rFonts w:ascii="Times New Roman" w:hAnsi="Times New Roman"/>
          <w:i w:val="0"/>
          <w:sz w:val="30"/>
          <w:szCs w:val="30"/>
        </w:rPr>
        <w:t>Общие сведения о муниципальном образовании</w:t>
      </w:r>
      <w:bookmarkEnd w:id="27"/>
      <w:bookmarkEnd w:id="28"/>
      <w:bookmarkEnd w:id="29"/>
    </w:p>
    <w:p>
      <w:pPr>
        <w:pStyle w:val="363"/>
        <w:spacing w:before="0" w:beforeAutospacing="0" w:after="0" w:afterAutospacing="0" w:line="360" w:lineRule="auto"/>
        <w:ind w:left="360" w:firstLine="348"/>
        <w:jc w:val="both"/>
        <w:rPr>
          <w:shd w:val="clear" w:color="auto" w:fill="FFFFFF"/>
        </w:rPr>
      </w:pPr>
      <w:r>
        <w:rPr>
          <w:shd w:val="clear" w:color="auto" w:fill="FFFFFF"/>
        </w:rPr>
        <w:t>Ейскоукрепленское сельское поселение (далее по тексту – муниципальное образование, сельское поселение) расположено в северной части Щербиновского района Краснодарского края (далее по тексту Щербиновский муниципальный район, муниципальный район, район). Общая площадь территории Ейскоукрепленского сельского поселения составляет 9531 га, из них земли населенного пункта 439 га.</w:t>
      </w:r>
    </w:p>
    <w:p>
      <w:pPr>
        <w:pStyle w:val="363"/>
        <w:spacing w:before="0" w:beforeAutospacing="0" w:after="0" w:afterAutospacing="0" w:line="360" w:lineRule="auto"/>
        <w:ind w:left="360" w:firstLine="348"/>
        <w:jc w:val="both"/>
        <w:rPr>
          <w:shd w:val="clear" w:color="auto" w:fill="FFFFFF"/>
        </w:rPr>
      </w:pPr>
      <w:r>
        <w:rPr>
          <w:shd w:val="clear" w:color="auto" w:fill="FFFFFF"/>
        </w:rPr>
        <w:t>Территория Ейскоукрепленского поселения включает один населенный пункт село Ейское Укрепление которое расположено в 12 км от административного центра муниципального образования Щербиновский район – станицы Старощербиновской и в 236 км от краевого центра – города Краснодара., численность населения на начало 2020 года – 2071 человек.</w:t>
      </w:r>
    </w:p>
    <w:p>
      <w:pPr>
        <w:pStyle w:val="363"/>
        <w:spacing w:before="0" w:beforeAutospacing="0" w:after="0" w:afterAutospacing="0" w:line="360" w:lineRule="auto"/>
        <w:ind w:left="360" w:firstLine="348"/>
        <w:jc w:val="both"/>
        <w:rPr>
          <w:shd w:val="clear" w:color="auto" w:fill="FFFFFF"/>
        </w:rPr>
      </w:pPr>
      <w:bookmarkStart w:id="35" w:name="_Toc263086798"/>
      <w:bookmarkStart w:id="36" w:name="_Toc342472303"/>
      <w:r>
        <w:rPr>
          <w:shd w:val="clear" w:color="auto" w:fill="FFFFFF"/>
        </w:rPr>
        <w:t>Состав жителей многонационален, всего на территории сельского поселения проживают представители 10 национальностей, отличающихся толерантностью, уважительным отношением к национальным традициям других народов.</w:t>
      </w:r>
    </w:p>
    <w:p>
      <w:pPr>
        <w:pStyle w:val="363"/>
        <w:spacing w:before="0" w:beforeAutospacing="0" w:after="0" w:afterAutospacing="0" w:line="360" w:lineRule="auto"/>
        <w:ind w:left="360" w:firstLine="348"/>
        <w:jc w:val="both"/>
        <w:rPr>
          <w:shd w:val="clear" w:color="auto" w:fill="FFFFFF"/>
        </w:rPr>
      </w:pPr>
      <w:r>
        <w:rPr>
          <w:shd w:val="clear" w:color="auto" w:fill="FFFFFF"/>
        </w:rPr>
        <w:t>В поселении 813 хозяйств, в том числе 675 имеют статус личных подсобных и занимаются выращиванием и производством сельскохозяйственной продукции и животноводства.</w:t>
      </w:r>
    </w:p>
    <w:p>
      <w:pPr>
        <w:pStyle w:val="363"/>
        <w:spacing w:before="0" w:beforeAutospacing="0" w:after="0" w:afterAutospacing="0" w:line="360" w:lineRule="auto"/>
        <w:ind w:left="360" w:firstLine="348"/>
        <w:jc w:val="both"/>
        <w:rPr>
          <w:shd w:val="clear" w:color="auto" w:fill="FFFFFF"/>
        </w:rPr>
      </w:pPr>
      <w:r>
        <w:rPr>
          <w:shd w:val="clear" w:color="auto" w:fill="FFFFFF"/>
        </w:rPr>
        <w:t>В подворьях жителей содержится: 140 голов КРС, овец и коз – 198, кроликов -360, а также более 8 тысяч голов различной птицы.</w:t>
      </w:r>
    </w:p>
    <w:p>
      <w:pPr>
        <w:pStyle w:val="363"/>
        <w:spacing w:before="0" w:beforeAutospacing="0" w:after="0" w:afterAutospacing="0" w:line="360" w:lineRule="auto"/>
        <w:ind w:left="360" w:firstLine="348"/>
        <w:jc w:val="both"/>
        <w:rPr>
          <w:shd w:val="clear" w:color="auto" w:fill="FFFFFF"/>
        </w:rPr>
      </w:pPr>
      <w:r>
        <w:rPr>
          <w:shd w:val="clear" w:color="auto" w:fill="FFFFFF"/>
        </w:rPr>
        <w:t>На территории сельского поселения располагаются:</w:t>
      </w:r>
    </w:p>
    <w:p>
      <w:pPr>
        <w:pStyle w:val="147"/>
        <w:widowControl w:val="0"/>
        <w:numPr>
          <w:ilvl w:val="0"/>
          <w:numId w:val="19"/>
        </w:numPr>
        <w:tabs>
          <w:tab w:val="left" w:pos="1134"/>
        </w:tabs>
        <w:suppressAutoHyphens/>
        <w:spacing w:after="0" w:line="360" w:lineRule="auto"/>
        <w:ind w:left="709" w:firstLine="357"/>
        <w:jc w:val="both"/>
        <w:rPr>
          <w:bCs/>
        </w:rPr>
      </w:pPr>
      <w:r>
        <w:rPr>
          <w:bCs/>
        </w:rPr>
        <w:t>сельскохозяйственное предприятие, занимающихся производством зерновых и животноводством - ООО «Лиманское»;</w:t>
      </w:r>
    </w:p>
    <w:p>
      <w:pPr>
        <w:pStyle w:val="147"/>
        <w:widowControl w:val="0"/>
        <w:numPr>
          <w:ilvl w:val="0"/>
          <w:numId w:val="19"/>
        </w:numPr>
        <w:tabs>
          <w:tab w:val="left" w:pos="1134"/>
        </w:tabs>
        <w:suppressAutoHyphens/>
        <w:spacing w:after="0" w:line="360" w:lineRule="auto"/>
        <w:ind w:left="709" w:firstLine="357"/>
        <w:jc w:val="both"/>
        <w:rPr>
          <w:bCs/>
        </w:rPr>
      </w:pPr>
      <w:r>
        <w:rPr>
          <w:bCs/>
        </w:rPr>
        <w:t>Ейскоукрепленское почтовое отделение;</w:t>
      </w:r>
    </w:p>
    <w:p>
      <w:pPr>
        <w:pStyle w:val="147"/>
        <w:widowControl w:val="0"/>
        <w:numPr>
          <w:ilvl w:val="0"/>
          <w:numId w:val="19"/>
        </w:numPr>
        <w:tabs>
          <w:tab w:val="left" w:pos="1134"/>
        </w:tabs>
        <w:suppressAutoHyphens/>
        <w:spacing w:after="0" w:line="360" w:lineRule="auto"/>
        <w:ind w:left="709" w:firstLine="357"/>
        <w:jc w:val="both"/>
        <w:rPr>
          <w:bCs/>
        </w:rPr>
      </w:pPr>
      <w:r>
        <w:rPr>
          <w:bCs/>
        </w:rPr>
        <w:t>МБОУ СОШ № 7;</w:t>
      </w:r>
    </w:p>
    <w:p>
      <w:pPr>
        <w:pStyle w:val="147"/>
        <w:widowControl w:val="0"/>
        <w:numPr>
          <w:ilvl w:val="0"/>
          <w:numId w:val="19"/>
        </w:numPr>
        <w:tabs>
          <w:tab w:val="left" w:pos="1134"/>
        </w:tabs>
        <w:suppressAutoHyphens/>
        <w:spacing w:after="0" w:line="360" w:lineRule="auto"/>
        <w:ind w:left="709" w:firstLine="357"/>
        <w:jc w:val="both"/>
        <w:rPr>
          <w:bCs/>
        </w:rPr>
      </w:pPr>
      <w:r>
        <w:rPr>
          <w:bCs/>
        </w:rPr>
        <w:t>МБДОУ детский сад № 4;</w:t>
      </w:r>
    </w:p>
    <w:p>
      <w:pPr>
        <w:pStyle w:val="147"/>
        <w:widowControl w:val="0"/>
        <w:numPr>
          <w:ilvl w:val="0"/>
          <w:numId w:val="19"/>
        </w:numPr>
        <w:tabs>
          <w:tab w:val="left" w:pos="1134"/>
        </w:tabs>
        <w:suppressAutoHyphens/>
        <w:spacing w:after="0" w:line="360" w:lineRule="auto"/>
        <w:ind w:left="709" w:firstLine="357"/>
        <w:jc w:val="both"/>
        <w:rPr>
          <w:bCs/>
        </w:rPr>
      </w:pPr>
      <w:r>
        <w:rPr>
          <w:bCs/>
        </w:rPr>
        <w:t>Ейскоукрепленская участковая больница и поликлиника;</w:t>
      </w:r>
    </w:p>
    <w:p>
      <w:pPr>
        <w:pStyle w:val="147"/>
        <w:widowControl w:val="0"/>
        <w:numPr>
          <w:ilvl w:val="0"/>
          <w:numId w:val="19"/>
        </w:numPr>
        <w:tabs>
          <w:tab w:val="left" w:pos="1134"/>
        </w:tabs>
        <w:suppressAutoHyphens/>
        <w:spacing w:after="0" w:line="360" w:lineRule="auto"/>
        <w:ind w:left="709" w:firstLine="357"/>
        <w:jc w:val="both"/>
        <w:rPr>
          <w:bCs/>
        </w:rPr>
      </w:pPr>
      <w:r>
        <w:rPr>
          <w:bCs/>
        </w:rPr>
        <w:t>культурное обслуживание населения представляют: муниципальные учреждения «Ейскоукрепленский сельский Дом культуры» и «Ейскоукрепленская сельская библиотека»;</w:t>
      </w:r>
    </w:p>
    <w:p>
      <w:pPr>
        <w:pStyle w:val="147"/>
        <w:widowControl w:val="0"/>
        <w:numPr>
          <w:ilvl w:val="0"/>
          <w:numId w:val="19"/>
        </w:numPr>
        <w:tabs>
          <w:tab w:val="left" w:pos="1134"/>
        </w:tabs>
        <w:suppressAutoHyphens/>
        <w:spacing w:after="0" w:line="360" w:lineRule="auto"/>
        <w:ind w:left="709" w:firstLine="357"/>
        <w:jc w:val="both"/>
        <w:rPr>
          <w:bCs/>
        </w:rPr>
      </w:pPr>
      <w:r>
        <w:rPr>
          <w:bCs/>
        </w:rPr>
        <w:t>обслуживание пожилого населения на территории села осуществляет отделение № 7 ЦСО «Веста»;</w:t>
      </w:r>
    </w:p>
    <w:p>
      <w:pPr>
        <w:pStyle w:val="147"/>
        <w:widowControl w:val="0"/>
        <w:numPr>
          <w:ilvl w:val="0"/>
          <w:numId w:val="19"/>
        </w:numPr>
        <w:tabs>
          <w:tab w:val="left" w:pos="1134"/>
        </w:tabs>
        <w:suppressAutoHyphens/>
        <w:spacing w:after="0" w:line="360" w:lineRule="auto"/>
        <w:ind w:left="709" w:firstLine="357"/>
        <w:jc w:val="both"/>
        <w:rPr>
          <w:bCs/>
        </w:rPr>
      </w:pPr>
      <w:r>
        <w:rPr>
          <w:bCs/>
        </w:rPr>
        <w:t>отделение Сбербанка России;</w:t>
      </w:r>
    </w:p>
    <w:p>
      <w:pPr>
        <w:pStyle w:val="147"/>
        <w:widowControl w:val="0"/>
        <w:numPr>
          <w:ilvl w:val="0"/>
          <w:numId w:val="19"/>
        </w:numPr>
        <w:tabs>
          <w:tab w:val="left" w:pos="1134"/>
        </w:tabs>
        <w:suppressAutoHyphens/>
        <w:spacing w:after="0" w:line="360" w:lineRule="auto"/>
        <w:ind w:left="709" w:firstLine="357"/>
        <w:jc w:val="both"/>
        <w:rPr>
          <w:bCs/>
        </w:rPr>
      </w:pPr>
      <w:r>
        <w:t>ветлечебница.</w:t>
      </w:r>
    </w:p>
    <w:p>
      <w:pPr>
        <w:widowControl w:val="0"/>
        <w:tabs>
          <w:tab w:val="left" w:pos="1134"/>
        </w:tabs>
        <w:suppressAutoHyphens/>
        <w:spacing w:after="0" w:line="360" w:lineRule="auto"/>
        <w:ind w:left="709"/>
        <w:jc w:val="both"/>
        <w:rPr>
          <w:bCs/>
        </w:rPr>
      </w:pPr>
    </w:p>
    <w:p>
      <w:pPr>
        <w:jc w:val="center"/>
        <w:rPr>
          <w:b/>
          <w:bCs/>
        </w:rPr>
      </w:pPr>
      <w:r>
        <w:rPr>
          <w:b/>
          <w:bCs/>
        </w:rPr>
        <w:t>Историческая справка</w:t>
      </w:r>
    </w:p>
    <w:p>
      <w:pPr>
        <w:pStyle w:val="363"/>
        <w:spacing w:before="0" w:beforeAutospacing="0" w:after="0" w:afterAutospacing="0" w:line="360" w:lineRule="auto"/>
        <w:ind w:left="360" w:firstLine="348"/>
        <w:jc w:val="both"/>
        <w:rPr>
          <w:shd w:val="clear" w:color="auto" w:fill="FFFFFF"/>
        </w:rPr>
      </w:pPr>
      <w:r>
        <w:rPr>
          <w:shd w:val="clear" w:color="auto" w:fill="FFFFFF"/>
        </w:rPr>
        <w:t>Село Ейское Укрепление Щербиновского района было основано как российский форпост на правом берегу реки Ея на границе между Российской империей и Оттоманской Портой. С целью оказания помощи союзным России ногайским ордам, которые постоянно подвергались нападениям черкесов и про-турецки настроенных ногайцев, русское правительство направило в начале 70-х годов ХVIII в. в Приазовье казачий отряд под командованием подполковника Стремоухова, который был назначен приставом при союзных ногайцах. Лагерь отряда разместился на месте старинного земляного укрепления - паланки - у брода через реку Ея. В 1774 г. сюда прибыли войска недавно сформированного Кубанского корпуса. В том же году бывшую паланку силами нанятых из соседней оседлой орды ногайцев укрепили новыми земляными рвами и валами, и с этого времени она стала называться «Крепость Ея» или «Крепость Ейская».</w:t>
      </w:r>
    </w:p>
    <w:p>
      <w:pPr>
        <w:pStyle w:val="363"/>
        <w:spacing w:before="0" w:beforeAutospacing="0" w:after="0" w:afterAutospacing="0" w:line="360" w:lineRule="auto"/>
        <w:ind w:left="360" w:firstLine="348"/>
        <w:jc w:val="both"/>
        <w:rPr>
          <w:shd w:val="clear" w:color="auto" w:fill="FFFFFF"/>
        </w:rPr>
      </w:pPr>
      <w:r>
        <w:rPr>
          <w:shd w:val="clear" w:color="auto" w:fill="FFFFFF"/>
        </w:rPr>
        <w:t>С назначением подполковника Молдавского гусарского полка И.Ф. Лешкевича новым приставом и пограничным комиссаром в Ейской крепости стали строиться лавки купцов и маркитантов, что вскоре превратило укрепление в один из крупнейших торговых центров всего Северо-Западного Кавказа.</w:t>
      </w:r>
    </w:p>
    <w:p>
      <w:pPr>
        <w:pStyle w:val="363"/>
        <w:spacing w:before="0" w:beforeAutospacing="0" w:after="0" w:afterAutospacing="0" w:line="360" w:lineRule="auto"/>
        <w:ind w:left="360" w:firstLine="348"/>
        <w:jc w:val="both"/>
        <w:rPr>
          <w:shd w:val="clear" w:color="auto" w:fill="FFFFFF"/>
        </w:rPr>
      </w:pPr>
      <w:r>
        <w:rPr>
          <w:shd w:val="clear" w:color="auto" w:fill="FFFFFF"/>
        </w:rPr>
        <w:t>После того как крымский калга (второе лицо в Крымском ханстве) Шагин-Гирей, которого российское правительство готовило на ханский престол, сделал укрепление своей резиденцией, его стали называть Шагин-Гирейским городок.</w:t>
      </w:r>
    </w:p>
    <w:p>
      <w:pPr>
        <w:pStyle w:val="363"/>
        <w:spacing w:before="0" w:beforeAutospacing="0" w:after="0" w:afterAutospacing="0" w:line="360" w:lineRule="auto"/>
        <w:ind w:left="360" w:firstLine="348"/>
        <w:jc w:val="both"/>
        <w:rPr>
          <w:shd w:val="clear" w:color="auto" w:fill="FFFFFF"/>
        </w:rPr>
      </w:pPr>
      <w:r>
        <w:rPr>
          <w:shd w:val="clear" w:color="auto" w:fill="FFFFFF"/>
        </w:rPr>
        <w:t>В целях поднятия авторитета будущего хана и его безопасности Лешкевич возводит немного севернее крепости небольшой редут, получивший название Ейский городок, где для резиденции Шагин-Гирея был построен деревянный дворец. После перевода резиденции калги из Шагин-Гирейского городка в новый Ейский городок на старом месте остались только лавки купцов и казачьи балаганы, поэтому его стали именовать базаром, т.е. Шагин-Гирейским базаром.</w:t>
      </w:r>
    </w:p>
    <w:p>
      <w:pPr>
        <w:pStyle w:val="363"/>
        <w:spacing w:before="0" w:beforeAutospacing="0" w:after="0" w:afterAutospacing="0" w:line="360" w:lineRule="auto"/>
        <w:ind w:left="360" w:firstLine="348"/>
        <w:jc w:val="both"/>
        <w:rPr>
          <w:shd w:val="clear" w:color="auto" w:fill="FFFFFF"/>
        </w:rPr>
      </w:pPr>
      <w:r>
        <w:rPr>
          <w:shd w:val="clear" w:color="auto" w:fill="FFFFFF"/>
        </w:rPr>
        <w:t>Проезжая через Приазовские степи, здесь в 1778 г. дважды побывал великий русский полководец А.В. Суворов, вступивший в командование Кубанским корпусом. В том же году, после отбытия Шагин-Гирея в Крым, по приказу Суворова городок и базар были объединены в Ейское Укрепление, в котором в 1782-1783 г.г. размещалась его штаб-квартира и проживала семья полководца: жена Варвара и дочь Наталья.</w:t>
      </w:r>
    </w:p>
    <w:p>
      <w:pPr>
        <w:pStyle w:val="363"/>
        <w:spacing w:before="0" w:beforeAutospacing="0" w:after="0" w:afterAutospacing="0" w:line="360" w:lineRule="auto"/>
        <w:ind w:left="360" w:firstLine="348"/>
        <w:jc w:val="both"/>
        <w:rPr>
          <w:shd w:val="clear" w:color="auto" w:fill="FFFFFF"/>
        </w:rPr>
      </w:pPr>
      <w:r>
        <w:rPr>
          <w:shd w:val="clear" w:color="auto" w:fill="FFFFFF"/>
        </w:rPr>
        <w:t>28 июня 1783 г. у Ейского Укрепления представители народов правобережной Кубани принесли присягу на верность Российской империи, после чего А.В. Суворовым для 6 000 приглашенных ногайцев был дан пир, длившийся 3 дня.</w:t>
      </w:r>
    </w:p>
    <w:p>
      <w:pPr>
        <w:pStyle w:val="363"/>
        <w:spacing w:before="0" w:beforeAutospacing="0" w:after="0" w:afterAutospacing="0" w:line="360" w:lineRule="auto"/>
        <w:ind w:left="360" w:firstLine="348"/>
        <w:jc w:val="both"/>
        <w:rPr>
          <w:shd w:val="clear" w:color="auto" w:fill="FFFFFF"/>
        </w:rPr>
      </w:pPr>
      <w:r>
        <w:rPr>
          <w:shd w:val="clear" w:color="auto" w:fill="FFFFFF"/>
        </w:rPr>
        <w:t>С установлением государственной границы по реке Кубань и началом заселения Черномории казаками Ейское Укрепление потеряло свое значение пограничного форпоста, так как оказалось в глубоком тылу, и было превращено в слободку, а затем в местечко.</w:t>
      </w:r>
    </w:p>
    <w:p>
      <w:pPr>
        <w:pStyle w:val="363"/>
        <w:spacing w:before="0" w:beforeAutospacing="0" w:after="0" w:afterAutospacing="0" w:line="360" w:lineRule="auto"/>
        <w:ind w:left="360" w:firstLine="348"/>
        <w:jc w:val="both"/>
        <w:rPr>
          <w:shd w:val="clear" w:color="auto" w:fill="FFFFFF"/>
        </w:rPr>
      </w:pPr>
      <w:r>
        <w:rPr>
          <w:shd w:val="clear" w:color="auto" w:fill="FFFFFF"/>
        </w:rPr>
        <w:t>В 1814 г. в Ейском Укреплении имелись: деревянная церковь Святой Живоначальной Троицы , 2 деревянных казенных дома, 1 купеческая лавка, 1 ветряная мельница. Жители промышляли рыбной ловлей, хлебопашеством и извозом купеческих товаров. В 1904 г. местечко Ейское Укрепление состояло из 6 улиц, 12 переулков и 2 площадей, на которых располагалось 661 жилое строение, 2 низших учебных заведения, 1 постоялый двор, там проживало 5 504 человека. Ежегодно в день Святой Троицы в местечке проводилась ярмарка.</w:t>
      </w:r>
    </w:p>
    <w:p>
      <w:pPr>
        <w:pStyle w:val="363"/>
        <w:spacing w:before="0" w:beforeAutospacing="0" w:after="0" w:afterAutospacing="0" w:line="360" w:lineRule="auto"/>
        <w:ind w:left="360" w:firstLine="348"/>
        <w:jc w:val="both"/>
        <w:rPr>
          <w:shd w:val="clear" w:color="auto" w:fill="FFFFFF"/>
        </w:rPr>
      </w:pPr>
      <w:r>
        <w:rPr>
          <w:shd w:val="clear" w:color="auto" w:fill="FFFFFF"/>
        </w:rPr>
        <w:t>После Октябрьской революции и гражданской войны жители начали восстанавливать хозяйство, создавали товарищества по обработке земли, затем организовали колхоз. Одно из самых трагических событий истории Кубани - голод в 1932 г. – осенью 1933 г. («голодомор») не обошел стороной и Ейское Укрепление. Ныне в селе стоит мемориал, посвященный его жертвам.</w:t>
      </w:r>
    </w:p>
    <w:p>
      <w:pPr>
        <w:pStyle w:val="3"/>
        <w:keepLines/>
        <w:numPr>
          <w:ilvl w:val="2"/>
          <w:numId w:val="20"/>
        </w:numPr>
        <w:suppressAutoHyphens/>
        <w:spacing w:before="480" w:after="360" w:line="360" w:lineRule="auto"/>
        <w:jc w:val="center"/>
        <w:rPr>
          <w:rFonts w:ascii="Times New Roman" w:hAnsi="Times New Roman"/>
          <w:i w:val="0"/>
          <w:sz w:val="30"/>
          <w:szCs w:val="30"/>
        </w:rPr>
      </w:pPr>
      <w:bookmarkStart w:id="37" w:name="_Toc57203187"/>
      <w:r>
        <w:rPr>
          <w:rFonts w:ascii="Times New Roman" w:hAnsi="Times New Roman"/>
          <w:i w:val="0"/>
          <w:sz w:val="30"/>
          <w:szCs w:val="30"/>
        </w:rPr>
        <w:t>Административное устройство муниципального образования. Границы муниципального образования</w:t>
      </w:r>
      <w:bookmarkEnd w:id="35"/>
      <w:bookmarkEnd w:id="36"/>
      <w:bookmarkEnd w:id="37"/>
    </w:p>
    <w:bookmarkEnd w:id="30"/>
    <w:bookmarkEnd w:id="31"/>
    <w:bookmarkEnd w:id="32"/>
    <w:bookmarkEnd w:id="33"/>
    <w:bookmarkEnd w:id="34"/>
    <w:p>
      <w:pPr>
        <w:pStyle w:val="363"/>
        <w:spacing w:before="0" w:beforeAutospacing="0" w:after="0" w:afterAutospacing="0" w:line="360" w:lineRule="auto"/>
        <w:ind w:left="360" w:firstLine="348"/>
        <w:jc w:val="both"/>
        <w:rPr>
          <w:shd w:val="clear" w:color="auto" w:fill="FFFFFF"/>
        </w:rPr>
      </w:pPr>
      <w:bookmarkStart w:id="38" w:name="_Toc268263625"/>
      <w:bookmarkStart w:id="39" w:name="_Toc342472304"/>
      <w:r>
        <w:rPr>
          <w:shd w:val="clear" w:color="auto" w:fill="FFFFFF"/>
        </w:rPr>
        <w:t>Ейскоукрепленское сельское поселение находится в северной части Щербиновского района и граничит:</w:t>
      </w:r>
    </w:p>
    <w:p>
      <w:pPr>
        <w:pStyle w:val="147"/>
        <w:widowControl w:val="0"/>
        <w:numPr>
          <w:ilvl w:val="0"/>
          <w:numId w:val="19"/>
        </w:numPr>
        <w:tabs>
          <w:tab w:val="left" w:pos="1134"/>
        </w:tabs>
        <w:suppressAutoHyphens/>
        <w:spacing w:after="0" w:line="360" w:lineRule="auto"/>
        <w:ind w:left="709" w:firstLine="357"/>
        <w:jc w:val="both"/>
      </w:pPr>
      <w:r>
        <w:t>на севере − с Шабельским сельским поселением и Ростовской областью;</w:t>
      </w:r>
    </w:p>
    <w:p>
      <w:pPr>
        <w:pStyle w:val="147"/>
        <w:widowControl w:val="0"/>
        <w:numPr>
          <w:ilvl w:val="0"/>
          <w:numId w:val="19"/>
        </w:numPr>
        <w:tabs>
          <w:tab w:val="left" w:pos="1134"/>
        </w:tabs>
        <w:suppressAutoHyphens/>
        <w:spacing w:after="0" w:line="360" w:lineRule="auto"/>
        <w:ind w:left="709" w:firstLine="357"/>
        <w:jc w:val="both"/>
      </w:pPr>
      <w:r>
        <w:t>на востоке – с Екатериновским сельским поселением;</w:t>
      </w:r>
    </w:p>
    <w:p>
      <w:pPr>
        <w:pStyle w:val="147"/>
        <w:widowControl w:val="0"/>
        <w:numPr>
          <w:ilvl w:val="0"/>
          <w:numId w:val="19"/>
        </w:numPr>
        <w:tabs>
          <w:tab w:val="left" w:pos="1134"/>
        </w:tabs>
        <w:suppressAutoHyphens/>
        <w:spacing w:after="0" w:line="360" w:lineRule="auto"/>
        <w:ind w:left="709" w:firstLine="357"/>
        <w:jc w:val="both"/>
      </w:pPr>
      <w:r>
        <w:t>на юге − со Старощербиновским сельским поселением;</w:t>
      </w:r>
    </w:p>
    <w:p>
      <w:pPr>
        <w:pStyle w:val="147"/>
        <w:widowControl w:val="0"/>
        <w:numPr>
          <w:ilvl w:val="0"/>
          <w:numId w:val="19"/>
        </w:numPr>
        <w:tabs>
          <w:tab w:val="left" w:pos="1134"/>
        </w:tabs>
        <w:suppressAutoHyphens/>
        <w:spacing w:after="0" w:line="360" w:lineRule="auto"/>
        <w:ind w:left="709" w:firstLine="357"/>
        <w:jc w:val="both"/>
      </w:pPr>
      <w:r>
        <w:t xml:space="preserve">на западе − с Николаевским сельским поселением. </w:t>
      </w:r>
    </w:p>
    <w:p>
      <w:pPr>
        <w:pStyle w:val="3"/>
        <w:keepLines/>
        <w:widowControl w:val="0"/>
        <w:numPr>
          <w:ilvl w:val="2"/>
          <w:numId w:val="20"/>
        </w:numPr>
        <w:spacing w:before="480" w:after="0" w:line="360" w:lineRule="auto"/>
        <w:ind w:left="0" w:firstLine="0"/>
        <w:jc w:val="center"/>
        <w:rPr>
          <w:rFonts w:ascii="Times New Roman" w:hAnsi="Times New Roman"/>
          <w:i w:val="0"/>
          <w:sz w:val="30"/>
          <w:szCs w:val="30"/>
        </w:rPr>
      </w:pPr>
      <w:bookmarkStart w:id="40" w:name="_Toc57203188"/>
      <w:r>
        <w:rPr>
          <w:rFonts w:ascii="Times New Roman" w:hAnsi="Times New Roman"/>
          <w:i w:val="0"/>
          <w:sz w:val="30"/>
          <w:szCs w:val="30"/>
        </w:rPr>
        <w:t>Природные условия и ресурсы</w:t>
      </w:r>
      <w:bookmarkEnd w:id="38"/>
      <w:bookmarkEnd w:id="39"/>
      <w:bookmarkEnd w:id="40"/>
    </w:p>
    <w:p>
      <w:pPr>
        <w:pStyle w:val="4"/>
        <w:keepNext w:val="0"/>
        <w:widowControl w:val="0"/>
        <w:numPr>
          <w:ilvl w:val="3"/>
          <w:numId w:val="20"/>
        </w:numPr>
        <w:spacing w:before="360" w:after="120" w:line="360" w:lineRule="auto"/>
        <w:ind w:left="0" w:firstLine="0"/>
        <w:jc w:val="center"/>
        <w:rPr>
          <w:rFonts w:ascii="Times New Roman" w:hAnsi="Times New Roman"/>
          <w:color w:val="auto"/>
          <w:kern w:val="32"/>
          <w:sz w:val="28"/>
          <w:szCs w:val="28"/>
          <w:lang w:eastAsia="ru-RU"/>
        </w:rPr>
      </w:pPr>
      <w:bookmarkStart w:id="41" w:name="_Toc268263626"/>
      <w:bookmarkStart w:id="42" w:name="_Toc342472305"/>
      <w:bookmarkStart w:id="43" w:name="_Toc247965260"/>
      <w:bookmarkStart w:id="44" w:name="_Toc57203189"/>
      <w:r>
        <w:rPr>
          <w:rFonts w:ascii="Times New Roman" w:hAnsi="Times New Roman"/>
          <w:color w:val="auto"/>
          <w:kern w:val="32"/>
          <w:sz w:val="28"/>
          <w:szCs w:val="28"/>
          <w:lang w:eastAsia="ru-RU"/>
        </w:rPr>
        <w:t>Климат</w:t>
      </w:r>
      <w:bookmarkEnd w:id="41"/>
      <w:bookmarkEnd w:id="42"/>
      <w:bookmarkEnd w:id="43"/>
      <w:r>
        <w:rPr>
          <w:rFonts w:ascii="Times New Roman" w:hAnsi="Times New Roman"/>
          <w:color w:val="auto"/>
          <w:kern w:val="32"/>
          <w:sz w:val="28"/>
          <w:szCs w:val="28"/>
          <w:lang w:eastAsia="ru-RU"/>
        </w:rPr>
        <w:t>ические условия</w:t>
      </w:r>
      <w:bookmarkEnd w:id="44"/>
    </w:p>
    <w:p>
      <w:pPr>
        <w:jc w:val="center"/>
        <w:rPr>
          <w:lang w:eastAsia="ru-RU"/>
        </w:rPr>
      </w:pPr>
      <w:r>
        <w:rPr>
          <w:b/>
          <w:bCs/>
        </w:rPr>
        <w:t>Температура воздуха</w:t>
      </w:r>
    </w:p>
    <w:p>
      <w:pPr>
        <w:pStyle w:val="363"/>
        <w:spacing w:before="0" w:beforeAutospacing="0" w:after="0" w:afterAutospacing="0" w:line="360" w:lineRule="auto"/>
        <w:ind w:left="360" w:firstLine="348"/>
        <w:jc w:val="both"/>
        <w:rPr>
          <w:shd w:val="clear" w:color="auto" w:fill="FFFFFF"/>
        </w:rPr>
      </w:pPr>
      <w:bookmarkStart w:id="45" w:name="_Toc268263627"/>
      <w:bookmarkStart w:id="46" w:name="_Toc342472306"/>
      <w:r>
        <w:rPr>
          <w:shd w:val="clear" w:color="auto" w:fill="FFFFFF"/>
        </w:rPr>
        <w:t>Средняя годовая температура в районе положительная, и равна 9,7-10,0</w:t>
      </w:r>
      <w:r>
        <w:rPr>
          <w:shd w:val="clear" w:color="auto" w:fill="FFFFFF"/>
          <w:vertAlign w:val="superscript"/>
        </w:rPr>
        <w:t>0</w:t>
      </w:r>
      <w:r>
        <w:rPr>
          <w:shd w:val="clear" w:color="auto" w:fill="FFFFFF"/>
        </w:rPr>
        <w:t>С. Значения средних месячных температур для района приведены в таблице 1.</w:t>
      </w:r>
    </w:p>
    <w:p>
      <w:pPr>
        <w:pStyle w:val="363"/>
        <w:spacing w:before="0" w:beforeAutospacing="0" w:after="0" w:afterAutospacing="0" w:line="360" w:lineRule="auto"/>
        <w:ind w:left="360" w:firstLine="348"/>
        <w:jc w:val="both"/>
        <w:rPr>
          <w:shd w:val="clear" w:color="auto" w:fill="FFFFFF"/>
        </w:rPr>
      </w:pPr>
      <w:r>
        <w:rPr>
          <w:shd w:val="clear" w:color="auto" w:fill="FFFFFF"/>
        </w:rPr>
        <w:t>Отрицательные средние месячные температуры отмечаются только зимой. Наиболее холодный месяц – январь, а наиболее теплый – июль. Амплитуда температур составляет 26,2</w:t>
      </w:r>
      <w:r>
        <w:rPr>
          <w:shd w:val="clear" w:color="auto" w:fill="FFFFFF"/>
          <w:vertAlign w:val="superscript"/>
        </w:rPr>
        <w:t>0</w:t>
      </w:r>
      <w:r>
        <w:rPr>
          <w:shd w:val="clear" w:color="auto" w:fill="FFFFFF"/>
        </w:rPr>
        <w:t>С.</w:t>
      </w:r>
    </w:p>
    <w:p>
      <w:pPr>
        <w:pStyle w:val="363"/>
        <w:spacing w:before="0" w:beforeAutospacing="0" w:after="0" w:afterAutospacing="0" w:line="360" w:lineRule="auto"/>
        <w:ind w:left="360" w:firstLine="348"/>
        <w:jc w:val="both"/>
        <w:rPr>
          <w:shd w:val="clear" w:color="auto" w:fill="FFFFFF"/>
        </w:rPr>
      </w:pPr>
      <w:r>
        <w:rPr>
          <w:shd w:val="clear" w:color="auto" w:fill="FFFFFF"/>
        </w:rPr>
        <w:t>Абсолютный минимум температуры в районе составляет – 32</w:t>
      </w:r>
      <w:r>
        <w:rPr>
          <w:shd w:val="clear" w:color="auto" w:fill="FFFFFF"/>
          <w:vertAlign w:val="superscript"/>
        </w:rPr>
        <w:t>0</w:t>
      </w:r>
      <w:r>
        <w:rPr>
          <w:shd w:val="clear" w:color="auto" w:fill="FFFFFF"/>
        </w:rPr>
        <w:t>С и приходится на январь. Как видно из таблицы 2, значения абсолютных минимальных температур разнятся в среднем на один градус, что, возможно, связано с расположением площадок наблюдения, однако разброс значений, как по этому показателю, так и по другим параметрам, вероятно, можно рассматривать как интервал их вариации в районе.</w:t>
      </w:r>
    </w:p>
    <w:p>
      <w:pPr>
        <w:pStyle w:val="363"/>
        <w:spacing w:before="0" w:beforeAutospacing="0" w:after="0" w:afterAutospacing="0" w:line="360" w:lineRule="auto"/>
        <w:ind w:left="360" w:firstLine="348"/>
        <w:jc w:val="both"/>
        <w:rPr>
          <w:shd w:val="clear" w:color="auto" w:fill="FFFFFF"/>
        </w:rPr>
      </w:pPr>
      <w:r>
        <w:rPr>
          <w:shd w:val="clear" w:color="auto" w:fill="FFFFFF"/>
        </w:rPr>
        <w:t>Абсолютные максимальные температуры достигают +39</w:t>
      </w:r>
      <w:r>
        <w:rPr>
          <w:shd w:val="clear" w:color="auto" w:fill="FFFFFF"/>
          <w:vertAlign w:val="superscript"/>
        </w:rPr>
        <w:t>0</w:t>
      </w:r>
      <w:r>
        <w:rPr>
          <w:shd w:val="clear" w:color="auto" w:fill="FFFFFF"/>
        </w:rPr>
        <w:t>С.</w:t>
      </w:r>
    </w:p>
    <w:p>
      <w:pPr>
        <w:pStyle w:val="363"/>
        <w:spacing w:before="0" w:beforeAutospacing="0" w:after="0" w:afterAutospacing="0" w:line="360" w:lineRule="auto"/>
        <w:ind w:left="360" w:firstLine="348"/>
        <w:jc w:val="both"/>
        <w:rPr>
          <w:shd w:val="clear" w:color="auto" w:fill="FFFFFF"/>
        </w:rPr>
      </w:pPr>
      <w:r>
        <w:rPr>
          <w:shd w:val="clear" w:color="auto" w:fill="FFFFFF"/>
        </w:rPr>
        <w:t>Следует отметить, что в данном районе абсолютные максимумы температуры воздуха с положительным знаком отмечаются и в зимние месяцы, составляя 14-19</w:t>
      </w:r>
      <w:r>
        <w:rPr>
          <w:shd w:val="clear" w:color="auto" w:fill="FFFFFF"/>
          <w:vertAlign w:val="superscript"/>
        </w:rPr>
        <w:t>0</w:t>
      </w:r>
      <w:r>
        <w:rPr>
          <w:shd w:val="clear" w:color="auto" w:fill="FFFFFF"/>
        </w:rPr>
        <w:t>С (таблицы 2, 3).</w:t>
      </w:r>
    </w:p>
    <w:p>
      <w:pPr>
        <w:pStyle w:val="363"/>
        <w:spacing w:before="0" w:beforeAutospacing="0" w:after="0" w:afterAutospacing="0" w:line="360" w:lineRule="auto"/>
        <w:ind w:left="360" w:firstLine="348"/>
        <w:jc w:val="both"/>
        <w:rPr>
          <w:shd w:val="clear" w:color="auto" w:fill="FFFFFF"/>
        </w:rPr>
      </w:pPr>
      <w:r>
        <w:rPr>
          <w:shd w:val="clear" w:color="auto" w:fill="FFFFFF"/>
        </w:rPr>
        <w:t>Сравнительные данные по температурам воздуха в открытом море и на побережье в районе исследований показывают, что в береговой зоне они на 0,2-0,3</w:t>
      </w:r>
      <w:r>
        <w:rPr>
          <w:shd w:val="clear" w:color="auto" w:fill="FFFFFF"/>
          <w:vertAlign w:val="superscript"/>
        </w:rPr>
        <w:t>0</w:t>
      </w:r>
      <w:r>
        <w:rPr>
          <w:shd w:val="clear" w:color="auto" w:fill="FFFFFF"/>
        </w:rPr>
        <w:t xml:space="preserve"> ниже почти в течение всего года, за исключением весеннего периода (апрель-май), когда в открытом море температура несколько ниже, чем на побережье.</w:t>
      </w:r>
    </w:p>
    <w:p>
      <w:pPr>
        <w:pStyle w:val="363"/>
        <w:spacing w:before="0" w:beforeAutospacing="0" w:after="0" w:afterAutospacing="0" w:line="360" w:lineRule="auto"/>
        <w:ind w:left="360" w:firstLine="348"/>
        <w:jc w:val="both"/>
        <w:rPr>
          <w:shd w:val="clear" w:color="auto" w:fill="FFFFFF"/>
        </w:rPr>
      </w:pPr>
    </w:p>
    <w:p>
      <w:pPr>
        <w:pStyle w:val="147"/>
        <w:numPr>
          <w:ilvl w:val="0"/>
          <w:numId w:val="20"/>
        </w:numPr>
        <w:ind w:right="142"/>
        <w:jc w:val="both"/>
        <w:rPr>
          <w:sz w:val="28"/>
          <w:szCs w:val="28"/>
        </w:rPr>
      </w:pPr>
      <w:r>
        <w:rPr>
          <w:b/>
          <w:sz w:val="28"/>
          <w:szCs w:val="28"/>
          <w:lang w:eastAsia="ar-SA"/>
        </w:rPr>
        <w:t xml:space="preserve"> </w:t>
      </w:r>
    </w:p>
    <w:p>
      <w:pPr>
        <w:spacing w:line="240" w:lineRule="auto"/>
        <w:jc w:val="center"/>
        <w:rPr>
          <w:b/>
          <w:bCs/>
        </w:rPr>
      </w:pPr>
      <w:r>
        <w:rPr>
          <w:b/>
          <w:bCs/>
        </w:rPr>
        <w:t>Средние месячные и средние годовые величины температуры воздуха (</w:t>
      </w:r>
      <w:r>
        <w:rPr>
          <w:b/>
          <w:bCs/>
          <w:vertAlign w:val="superscript"/>
        </w:rPr>
        <w:t>0</w:t>
      </w:r>
      <w:r>
        <w:rPr>
          <w:b/>
          <w:bCs/>
        </w:rPr>
        <w:t>С)</w:t>
      </w:r>
    </w:p>
    <w:p>
      <w:pPr>
        <w:pStyle w:val="147"/>
        <w:numPr>
          <w:ilvl w:val="0"/>
          <w:numId w:val="20"/>
        </w:numPr>
        <w:ind w:right="142"/>
        <w:jc w:val="right"/>
        <w:rPr>
          <w:b/>
          <w:bCs/>
        </w:rPr>
      </w:pPr>
      <w:r>
        <w:rPr>
          <w:b/>
          <w:bCs/>
        </w:rPr>
        <w:t>Таблица 1</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711"/>
        <w:gridCol w:w="711"/>
        <w:gridCol w:w="711"/>
        <w:gridCol w:w="711"/>
        <w:gridCol w:w="769"/>
        <w:gridCol w:w="769"/>
        <w:gridCol w:w="769"/>
        <w:gridCol w:w="830"/>
        <w:gridCol w:w="769"/>
        <w:gridCol w:w="769"/>
        <w:gridCol w:w="711"/>
        <w:gridCol w:w="711"/>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tcBorders>
              <w:top w:val="single" w:color="auto" w:sz="4" w:space="0"/>
              <w:left w:val="single" w:color="auto" w:sz="4" w:space="0"/>
              <w:bottom w:val="single" w:color="auto" w:sz="4" w:space="0"/>
              <w:right w:val="single" w:color="auto" w:sz="4" w:space="0"/>
            </w:tcBorders>
            <w:vAlign w:val="center"/>
          </w:tcPr>
          <w:p>
            <w:pPr>
              <w:jc w:val="center"/>
            </w:pP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III</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IV</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VIII</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IX</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XII</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13"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-3,9</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-3,3</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1,1</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9,2</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16,8</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21,3</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24,2</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pPr>
            <w:r>
              <w:t>23,2</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17,6</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10,8</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4,0</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-1,1</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13"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2</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-4,0</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-3,5</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0,8</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8,4</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16,3</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21,0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24,0</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pPr>
            <w:r>
              <w:t>23,1</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17,4</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10,7</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3,8</w:t>
            </w:r>
          </w:p>
        </w:tc>
        <w:tc>
          <w:tcPr>
            <w:tcW w:w="341" w:type="pct"/>
            <w:tcBorders>
              <w:top w:val="single" w:color="auto" w:sz="4" w:space="0"/>
              <w:left w:val="single" w:color="auto" w:sz="4" w:space="0"/>
              <w:bottom w:val="single" w:color="auto" w:sz="4" w:space="0"/>
              <w:right w:val="single" w:color="auto" w:sz="4" w:space="0"/>
            </w:tcBorders>
            <w:vAlign w:val="center"/>
          </w:tcPr>
          <w:p>
            <w:pPr>
              <w:jc w:val="center"/>
            </w:pPr>
            <w:r>
              <w:t>-1,1</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pPr>
            <w:r>
              <w:t>9,7</w:t>
            </w:r>
          </w:p>
        </w:tc>
      </w:tr>
    </w:tbl>
    <w:p>
      <w:pPr>
        <w:pStyle w:val="147"/>
        <w:numPr>
          <w:ilvl w:val="0"/>
          <w:numId w:val="20"/>
        </w:numPr>
        <w:jc w:val="center"/>
        <w:rPr>
          <w:sz w:val="28"/>
          <w:szCs w:val="28"/>
        </w:rPr>
      </w:pPr>
    </w:p>
    <w:p>
      <w:pPr>
        <w:spacing w:line="240" w:lineRule="auto"/>
        <w:jc w:val="center"/>
        <w:rPr>
          <w:b/>
          <w:bCs/>
        </w:rPr>
      </w:pPr>
      <w:r>
        <w:rPr>
          <w:b/>
          <w:bCs/>
        </w:rPr>
        <w:t>Абсолютные минимальные температуры воздуха (</w:t>
      </w:r>
      <w:r>
        <w:rPr>
          <w:b/>
          <w:bCs/>
          <w:vertAlign w:val="superscript"/>
        </w:rPr>
        <w:t>0</w:t>
      </w:r>
      <w:r>
        <w:rPr>
          <w:b/>
          <w:bCs/>
        </w:rPr>
        <w:t xml:space="preserve">С) по многолетним данным </w:t>
      </w:r>
    </w:p>
    <w:p>
      <w:pPr>
        <w:pStyle w:val="147"/>
        <w:numPr>
          <w:ilvl w:val="0"/>
          <w:numId w:val="20"/>
        </w:numPr>
        <w:ind w:right="142"/>
        <w:jc w:val="right"/>
        <w:rPr>
          <w:b/>
        </w:rPr>
      </w:pPr>
      <w:r>
        <w:rPr>
          <w:b/>
          <w:bCs/>
        </w:rPr>
        <w:t>Таблица 2</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713"/>
        <w:gridCol w:w="713"/>
        <w:gridCol w:w="713"/>
        <w:gridCol w:w="713"/>
        <w:gridCol w:w="742"/>
        <w:gridCol w:w="742"/>
        <w:gridCol w:w="742"/>
        <w:gridCol w:w="832"/>
        <w:gridCol w:w="742"/>
        <w:gridCol w:w="742"/>
        <w:gridCol w:w="713"/>
        <w:gridCol w:w="713"/>
        <w:gridCol w:w="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IX</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XII</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-30</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-29</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-5</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4</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13</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-6</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-20</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-25</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-30</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-25</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0</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4</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11</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-23</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-24</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-32</w:t>
            </w:r>
          </w:p>
        </w:tc>
      </w:tr>
    </w:tbl>
    <w:p>
      <w:pPr>
        <w:pStyle w:val="147"/>
        <w:numPr>
          <w:ilvl w:val="0"/>
          <w:numId w:val="20"/>
        </w:numPr>
        <w:jc w:val="center"/>
        <w:rPr>
          <w:sz w:val="28"/>
          <w:szCs w:val="28"/>
        </w:rPr>
      </w:pPr>
    </w:p>
    <w:p>
      <w:pPr>
        <w:spacing w:line="240" w:lineRule="auto"/>
        <w:jc w:val="center"/>
        <w:rPr>
          <w:b/>
          <w:bCs/>
        </w:rPr>
      </w:pPr>
      <w:r>
        <w:rPr>
          <w:b/>
          <w:bCs/>
        </w:rPr>
        <w:t>Абсолютные максимальные температуры воздуха (</w:t>
      </w:r>
      <w:r>
        <w:rPr>
          <w:b/>
          <w:bCs/>
          <w:vertAlign w:val="superscript"/>
        </w:rPr>
        <w:t>0</w:t>
      </w:r>
      <w:r>
        <w:rPr>
          <w:b/>
          <w:bCs/>
        </w:rPr>
        <w:t>С) по многолетним данным</w:t>
      </w:r>
    </w:p>
    <w:p>
      <w:pPr>
        <w:pStyle w:val="147"/>
        <w:numPr>
          <w:ilvl w:val="0"/>
          <w:numId w:val="20"/>
        </w:numPr>
        <w:ind w:right="142"/>
        <w:jc w:val="right"/>
        <w:rPr>
          <w:b/>
        </w:rPr>
      </w:pPr>
      <w:r>
        <w:rPr>
          <w:b/>
          <w:bCs/>
        </w:rPr>
        <w:t>Таблица 3</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713"/>
        <w:gridCol w:w="713"/>
        <w:gridCol w:w="713"/>
        <w:gridCol w:w="713"/>
        <w:gridCol w:w="742"/>
        <w:gridCol w:w="742"/>
        <w:gridCol w:w="742"/>
        <w:gridCol w:w="832"/>
        <w:gridCol w:w="742"/>
        <w:gridCol w:w="742"/>
        <w:gridCol w:w="713"/>
        <w:gridCol w:w="713"/>
        <w:gridCol w:w="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IX</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XII</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15</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19</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28</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30</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33</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38</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39</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38</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34</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27</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16</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14</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16</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26</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30</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32</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37</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38</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39</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34</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31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24</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16</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39</w:t>
            </w:r>
          </w:p>
        </w:tc>
      </w:tr>
    </w:tbl>
    <w:p>
      <w:pPr>
        <w:pStyle w:val="147"/>
        <w:numPr>
          <w:ilvl w:val="0"/>
          <w:numId w:val="20"/>
        </w:numPr>
        <w:jc w:val="center"/>
        <w:rPr>
          <w:sz w:val="28"/>
          <w:szCs w:val="28"/>
        </w:rPr>
      </w:pPr>
    </w:p>
    <w:p>
      <w:pPr>
        <w:pStyle w:val="363"/>
        <w:spacing w:before="0" w:beforeAutospacing="0" w:after="0" w:afterAutospacing="0" w:line="360" w:lineRule="auto"/>
        <w:ind w:left="360" w:firstLine="348"/>
        <w:jc w:val="both"/>
        <w:rPr>
          <w:shd w:val="clear" w:color="auto" w:fill="FFFFFF"/>
        </w:rPr>
      </w:pPr>
      <w:r>
        <w:rPr>
          <w:shd w:val="clear" w:color="auto" w:fill="FFFFFF"/>
        </w:rPr>
        <w:t>Эти и другие различия температур воздуха над сушей и морем в разные сезоны года, связанные с разной скоростью их прогрева и охлаждения являются одной из причин формирования своеобразных прибрежных микроклиматических явлений.</w:t>
      </w:r>
    </w:p>
    <w:p>
      <w:pPr>
        <w:pStyle w:val="363"/>
        <w:spacing w:before="0" w:beforeAutospacing="0" w:after="0" w:afterAutospacing="0" w:line="360" w:lineRule="auto"/>
        <w:ind w:left="360" w:firstLine="348"/>
        <w:jc w:val="both"/>
        <w:rPr>
          <w:shd w:val="clear" w:color="auto" w:fill="FFFFFF"/>
        </w:rPr>
      </w:pPr>
    </w:p>
    <w:p>
      <w:pPr>
        <w:jc w:val="center"/>
        <w:rPr>
          <w:b/>
          <w:bCs/>
        </w:rPr>
      </w:pPr>
      <w:r>
        <w:rPr>
          <w:b/>
          <w:bCs/>
        </w:rPr>
        <w:t>Атмосферные осадки и облачность</w:t>
      </w:r>
    </w:p>
    <w:p>
      <w:pPr>
        <w:pStyle w:val="363"/>
        <w:spacing w:before="0" w:beforeAutospacing="0" w:after="0" w:afterAutospacing="0" w:line="360" w:lineRule="auto"/>
        <w:ind w:left="360" w:firstLine="348"/>
        <w:jc w:val="both"/>
        <w:rPr>
          <w:shd w:val="clear" w:color="auto" w:fill="FFFFFF"/>
        </w:rPr>
      </w:pPr>
      <w:r>
        <w:rPr>
          <w:shd w:val="clear" w:color="auto" w:fill="FFFFFF"/>
        </w:rPr>
        <w:t>Средняя годовая сумма осадков по данным многолетних наблюдений для бассейна Азовского моря изменяется в интервале 335 - 418мм. Однако межгодовые вариации этой величины весьма значительны, о чем дает представление таблица 4.</w:t>
      </w:r>
    </w:p>
    <w:p>
      <w:pPr>
        <w:pStyle w:val="363"/>
        <w:spacing w:before="0" w:beforeAutospacing="0" w:after="0" w:afterAutospacing="0" w:line="360" w:lineRule="auto"/>
        <w:ind w:left="360" w:firstLine="348"/>
        <w:jc w:val="both"/>
        <w:rPr>
          <w:shd w:val="clear" w:color="auto" w:fill="FFFFFF"/>
        </w:rPr>
      </w:pPr>
      <w:r>
        <w:rPr>
          <w:shd w:val="clear" w:color="auto" w:fill="FFFFFF"/>
        </w:rPr>
        <w:t>Средняя межгодовая изменчивость годовых сумм осадков в районе достигает 22%, тогда как эта характеристика для сезонных сумм осадков составляет 40-50%.</w:t>
      </w:r>
    </w:p>
    <w:p>
      <w:pPr>
        <w:pStyle w:val="147"/>
        <w:numPr>
          <w:ilvl w:val="0"/>
          <w:numId w:val="20"/>
        </w:numPr>
        <w:jc w:val="center"/>
        <w:rPr>
          <w:b/>
          <w:sz w:val="28"/>
          <w:szCs w:val="28"/>
        </w:rPr>
      </w:pPr>
    </w:p>
    <w:p>
      <w:pPr>
        <w:spacing w:line="240" w:lineRule="auto"/>
        <w:jc w:val="center"/>
        <w:rPr>
          <w:b/>
          <w:bCs/>
        </w:rPr>
      </w:pPr>
      <w:r>
        <w:rPr>
          <w:b/>
          <w:bCs/>
        </w:rPr>
        <w:t>Годовые суммы осадков (мм) за 20-летний период</w:t>
      </w:r>
    </w:p>
    <w:p>
      <w:pPr>
        <w:pStyle w:val="147"/>
        <w:numPr>
          <w:ilvl w:val="0"/>
          <w:numId w:val="20"/>
        </w:numPr>
        <w:ind w:right="142"/>
        <w:jc w:val="right"/>
        <w:rPr>
          <w:b/>
          <w:bCs/>
        </w:rPr>
      </w:pPr>
      <w:r>
        <w:rPr>
          <w:b/>
          <w:bCs/>
        </w:rPr>
        <w:t>Таблица 4</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5"/>
        <w:gridCol w:w="2605"/>
        <w:gridCol w:w="2606"/>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0"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Годы</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Сумма</w:t>
            </w:r>
          </w:p>
          <w:p>
            <w:pPr>
              <w:jc w:val="center"/>
              <w:rPr>
                <w:b/>
              </w:rPr>
            </w:pPr>
            <w:r>
              <w:rPr>
                <w:b/>
              </w:rPr>
              <w:t>осадков</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Годы</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Сумма</w:t>
            </w:r>
          </w:p>
          <w:p>
            <w:pPr>
              <w:jc w:val="center"/>
              <w:rPr>
                <w:b/>
              </w:rPr>
            </w:pPr>
            <w:r>
              <w:rPr>
                <w:b/>
              </w:rPr>
              <w:t>осадков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1954</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1964</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1955</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522</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1965</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1956</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513</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1966</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1957</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330</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1967</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1958</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380</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1968</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1959</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384</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1969</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1960</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475</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1970</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1961</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414</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1971</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1962</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347</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1972</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1963</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348</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1973</w:t>
            </w:r>
          </w:p>
        </w:tc>
        <w:tc>
          <w:tcPr>
            <w:tcW w:w="1250" w:type="pct"/>
            <w:tcBorders>
              <w:top w:val="single" w:color="auto" w:sz="4" w:space="0"/>
              <w:left w:val="single" w:color="auto" w:sz="4" w:space="0"/>
              <w:bottom w:val="single" w:color="auto" w:sz="4" w:space="0"/>
              <w:right w:val="single" w:color="auto" w:sz="4" w:space="0"/>
            </w:tcBorders>
            <w:vAlign w:val="center"/>
          </w:tcPr>
          <w:p>
            <w:pPr>
              <w:jc w:val="center"/>
            </w:pPr>
            <w:r>
              <w:t>471</w:t>
            </w:r>
          </w:p>
        </w:tc>
      </w:tr>
    </w:tbl>
    <w:p>
      <w:pPr>
        <w:pStyle w:val="81"/>
        <w:numPr>
          <w:ilvl w:val="0"/>
          <w:numId w:val="20"/>
        </w:numPr>
        <w:spacing w:after="0" w:line="240" w:lineRule="auto"/>
        <w:jc w:val="center"/>
        <w:rPr>
          <w:sz w:val="28"/>
          <w:szCs w:val="28"/>
        </w:rPr>
      </w:pPr>
    </w:p>
    <w:p>
      <w:pPr>
        <w:pStyle w:val="363"/>
        <w:spacing w:before="0" w:beforeAutospacing="0" w:after="0" w:afterAutospacing="0" w:line="360" w:lineRule="auto"/>
        <w:ind w:left="360" w:firstLine="348"/>
        <w:jc w:val="both"/>
        <w:rPr>
          <w:shd w:val="clear" w:color="auto" w:fill="FFFFFF"/>
        </w:rPr>
      </w:pPr>
      <w:r>
        <w:rPr>
          <w:shd w:val="clear" w:color="auto" w:fill="FFFFFF"/>
        </w:rPr>
        <w:t>Годовой ход осадков характеризуется наличием двух максимумов и двух минимумов. Летний максимум в районе приходится на июль и является первичным, а вторичный зимний максимум наблюдается в январе-феврале. Меньше всего осадков выпадает осенью, особенно в сентябре. Второй минимум отмечается весной – в апреле.</w:t>
      </w:r>
    </w:p>
    <w:p>
      <w:pPr>
        <w:pStyle w:val="363"/>
        <w:spacing w:before="0" w:beforeAutospacing="0" w:after="0" w:afterAutospacing="0" w:line="360" w:lineRule="auto"/>
        <w:ind w:left="360" w:firstLine="348"/>
        <w:jc w:val="both"/>
        <w:rPr>
          <w:shd w:val="clear" w:color="auto" w:fill="FFFFFF"/>
        </w:rPr>
      </w:pPr>
      <w:r>
        <w:rPr>
          <w:shd w:val="clear" w:color="auto" w:fill="FFFFFF"/>
        </w:rPr>
        <w:t>Годовой ход количества осадков и годовой ход их повторяемости различаются: наиболее часто они выпадают зимой и реже всего осенью. Поэтому зимний максимум количества осадков обусловлен их частой повторяемостью, тогда как летний максимум при небольшой повторяемости обусловлен их наибольшей интенсивностью.</w:t>
      </w:r>
    </w:p>
    <w:p>
      <w:pPr>
        <w:pStyle w:val="363"/>
        <w:spacing w:before="0" w:beforeAutospacing="0" w:after="0" w:afterAutospacing="0" w:line="360" w:lineRule="auto"/>
        <w:ind w:left="360" w:firstLine="348"/>
        <w:jc w:val="both"/>
        <w:rPr>
          <w:shd w:val="clear" w:color="auto" w:fill="FFFFFF"/>
        </w:rPr>
      </w:pPr>
      <w:r>
        <w:rPr>
          <w:shd w:val="clear" w:color="auto" w:fill="FFFFFF"/>
        </w:rPr>
        <w:t>Ливни, т.е. дожди с аномально высокой интенсивностью (0,5 мм/мин в течение 5 мин, 0,2 мм/мин в течение 1 часа и т.д.), наблюдаются в районе в период с мая по сентябрь, и наиболее вероятны в июле. Но даже в этот период они наблюдаются не ежегодно: 4-5 раз за 10 лет.</w:t>
      </w:r>
    </w:p>
    <w:p>
      <w:pPr>
        <w:pStyle w:val="363"/>
        <w:spacing w:before="0" w:beforeAutospacing="0" w:after="0" w:afterAutospacing="0" w:line="360" w:lineRule="auto"/>
        <w:ind w:left="360" w:firstLine="348"/>
        <w:jc w:val="both"/>
        <w:rPr>
          <w:shd w:val="clear" w:color="auto" w:fill="FFFFFF"/>
        </w:rPr>
      </w:pPr>
      <w:r>
        <w:rPr>
          <w:shd w:val="clear" w:color="auto" w:fill="FFFFFF"/>
        </w:rPr>
        <w:t>Географическое положение бассейна Азовского моря определяет преобладание здесь жидких осадков в течение всего года. Даже в холодный период года – с ноября по март – число дней с дождем обычно больше числа дней со снегом. Только в январе и феврале среднемноголетнее число дней со снегом больше числа дней с дождем (таблица 5).</w:t>
      </w:r>
    </w:p>
    <w:p>
      <w:pPr>
        <w:pStyle w:val="363"/>
        <w:spacing w:before="0" w:beforeAutospacing="0" w:after="0" w:afterAutospacing="0" w:line="360" w:lineRule="auto"/>
        <w:ind w:left="360" w:firstLine="348"/>
        <w:jc w:val="both"/>
        <w:rPr>
          <w:sz w:val="28"/>
          <w:szCs w:val="28"/>
        </w:rPr>
      </w:pPr>
    </w:p>
    <w:p>
      <w:pPr>
        <w:spacing w:line="240" w:lineRule="auto"/>
        <w:jc w:val="center"/>
        <w:rPr>
          <w:b/>
          <w:bCs/>
        </w:rPr>
      </w:pPr>
      <w:r>
        <w:rPr>
          <w:b/>
          <w:bCs/>
        </w:rPr>
        <w:t>Среднее многолетнее число дней с дождем (1) и снегом (2)</w:t>
      </w:r>
    </w:p>
    <w:p>
      <w:pPr>
        <w:pStyle w:val="147"/>
        <w:numPr>
          <w:ilvl w:val="0"/>
          <w:numId w:val="20"/>
        </w:numPr>
        <w:ind w:right="142"/>
        <w:jc w:val="right"/>
        <w:rPr>
          <w:b/>
          <w:bCs/>
        </w:rPr>
      </w:pPr>
      <w:r>
        <w:rPr>
          <w:b/>
          <w:bCs/>
        </w:rPr>
        <w:t>Таблица 5</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713"/>
        <w:gridCol w:w="713"/>
        <w:gridCol w:w="713"/>
        <w:gridCol w:w="713"/>
        <w:gridCol w:w="742"/>
        <w:gridCol w:w="742"/>
        <w:gridCol w:w="742"/>
        <w:gridCol w:w="832"/>
        <w:gridCol w:w="742"/>
        <w:gridCol w:w="742"/>
        <w:gridCol w:w="713"/>
        <w:gridCol w:w="713"/>
        <w:gridCol w:w="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4" w:type="pct"/>
            <w:tcBorders>
              <w:top w:val="single" w:color="auto" w:sz="4" w:space="0"/>
              <w:left w:val="single" w:color="auto" w:sz="4" w:space="0"/>
              <w:bottom w:val="single" w:color="auto" w:sz="4" w:space="0"/>
              <w:right w:val="single" w:color="auto" w:sz="4" w:space="0"/>
            </w:tcBorders>
            <w:vAlign w:val="center"/>
          </w:tcPr>
          <w:p>
            <w:pPr>
              <w:jc w:val="center"/>
            </w:pP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III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VIII</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IX</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rPr>
                <w:b/>
                <w:lang w:val="en-US"/>
              </w:rPr>
            </w:pPr>
            <w:r>
              <w:rPr>
                <w:b/>
                <w:lang w:val="en-US"/>
              </w:rPr>
              <w:t>XII</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6</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6</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7</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6</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7</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6</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8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8</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9</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5</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1</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399"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356" w:type="pct"/>
            <w:tcBorders>
              <w:top w:val="single" w:color="auto" w:sz="4" w:space="0"/>
              <w:left w:val="single" w:color="auto" w:sz="4" w:space="0"/>
              <w:bottom w:val="single" w:color="auto" w:sz="4" w:space="0"/>
              <w:right w:val="single" w:color="auto" w:sz="4" w:space="0"/>
            </w:tcBorders>
            <w:vAlign w:val="center"/>
          </w:tcPr>
          <w:p>
            <w:pPr>
              <w:jc w:val="center"/>
            </w:pPr>
            <w:r>
              <w:t>1</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2</w:t>
            </w:r>
          </w:p>
        </w:tc>
        <w:tc>
          <w:tcPr>
            <w:tcW w:w="342" w:type="pct"/>
            <w:tcBorders>
              <w:top w:val="single" w:color="auto" w:sz="4" w:space="0"/>
              <w:left w:val="single" w:color="auto" w:sz="4" w:space="0"/>
              <w:bottom w:val="single" w:color="auto" w:sz="4" w:space="0"/>
              <w:right w:val="single" w:color="auto" w:sz="4" w:space="0"/>
            </w:tcBorders>
            <w:vAlign w:val="center"/>
          </w:tcPr>
          <w:p>
            <w:pPr>
              <w:jc w:val="center"/>
            </w:pPr>
            <w:r>
              <w:t>5</w:t>
            </w:r>
          </w:p>
        </w:tc>
        <w:tc>
          <w:tcPr>
            <w:tcW w:w="384" w:type="pct"/>
            <w:tcBorders>
              <w:top w:val="single" w:color="auto" w:sz="4" w:space="0"/>
              <w:left w:val="single" w:color="auto" w:sz="4" w:space="0"/>
              <w:bottom w:val="single" w:color="auto" w:sz="4" w:space="0"/>
              <w:right w:val="single" w:color="auto" w:sz="4" w:space="0"/>
            </w:tcBorders>
            <w:vAlign w:val="center"/>
          </w:tcPr>
          <w:p>
            <w:pPr>
              <w:jc w:val="center"/>
            </w:pPr>
            <w:r>
              <w:t>30</w:t>
            </w:r>
          </w:p>
        </w:tc>
      </w:tr>
    </w:tbl>
    <w:p>
      <w:pPr>
        <w:pStyle w:val="147"/>
        <w:numPr>
          <w:ilvl w:val="0"/>
          <w:numId w:val="20"/>
        </w:numPr>
        <w:jc w:val="center"/>
        <w:rPr>
          <w:sz w:val="28"/>
          <w:szCs w:val="28"/>
        </w:rPr>
      </w:pPr>
    </w:p>
    <w:p>
      <w:pPr>
        <w:pStyle w:val="363"/>
        <w:spacing w:before="0" w:beforeAutospacing="0" w:after="0" w:afterAutospacing="0" w:line="360" w:lineRule="auto"/>
        <w:ind w:left="360" w:firstLine="348"/>
        <w:jc w:val="both"/>
        <w:rPr>
          <w:shd w:val="clear" w:color="auto" w:fill="FFFFFF"/>
        </w:rPr>
      </w:pPr>
      <w:r>
        <w:rPr>
          <w:shd w:val="clear" w:color="auto" w:fill="FFFFFF"/>
        </w:rPr>
        <w:t>Известно, однако, что выпадение осадков в виде снега возможно в отдельные годы также в мае и сентябре.</w:t>
      </w:r>
    </w:p>
    <w:p>
      <w:pPr>
        <w:pStyle w:val="363"/>
        <w:spacing w:before="0" w:beforeAutospacing="0" w:after="0" w:afterAutospacing="0" w:line="360" w:lineRule="auto"/>
        <w:ind w:left="360" w:firstLine="348"/>
        <w:jc w:val="both"/>
        <w:rPr>
          <w:shd w:val="clear" w:color="auto" w:fill="FFFFFF"/>
        </w:rPr>
      </w:pPr>
      <w:r>
        <w:rPr>
          <w:shd w:val="clear" w:color="auto" w:fill="FFFFFF"/>
        </w:rPr>
        <w:t>Как видно из приведенной краткой характеристики от года к году количество осадков изменяется в довольно больших пределах. При этом можно заметить наличие довольно продолжительных отрезков времени с аномальными значениями количества осадков одного знака – засух либо влажных периодов.</w:t>
      </w:r>
    </w:p>
    <w:p>
      <w:pPr>
        <w:pStyle w:val="363"/>
        <w:spacing w:before="0" w:beforeAutospacing="0" w:after="0" w:afterAutospacing="0" w:line="360" w:lineRule="auto"/>
        <w:ind w:left="360" w:firstLine="348"/>
        <w:jc w:val="both"/>
        <w:rPr>
          <w:shd w:val="clear" w:color="auto" w:fill="FFFFFF"/>
        </w:rPr>
      </w:pPr>
      <w:r>
        <w:rPr>
          <w:shd w:val="clear" w:color="auto" w:fill="FFFFFF"/>
        </w:rPr>
        <w:t>Среднемноголетнее число ясных дней в году составляет 78-80 дней, а пасмурных – 112-115 дней. Наибольшее число ясных дней наблюдаются в июле и августе (13-14 дней в месяце), а самое пасмурное небо характерно для декабря и января.</w:t>
      </w:r>
    </w:p>
    <w:p>
      <w:pPr>
        <w:pStyle w:val="363"/>
        <w:spacing w:before="0" w:beforeAutospacing="0" w:after="0" w:afterAutospacing="0" w:line="360" w:lineRule="auto"/>
        <w:ind w:left="360" w:firstLine="348"/>
        <w:jc w:val="both"/>
        <w:rPr>
          <w:shd w:val="clear" w:color="auto" w:fill="FFFFFF"/>
        </w:rPr>
      </w:pPr>
    </w:p>
    <w:p>
      <w:pPr>
        <w:jc w:val="center"/>
        <w:rPr>
          <w:b/>
          <w:bCs/>
        </w:rPr>
      </w:pPr>
      <w:r>
        <w:rPr>
          <w:b/>
          <w:bCs/>
        </w:rPr>
        <w:t>Ветровой режим</w:t>
      </w:r>
    </w:p>
    <w:p>
      <w:pPr>
        <w:pStyle w:val="363"/>
        <w:spacing w:before="0" w:beforeAutospacing="0" w:after="0" w:afterAutospacing="0" w:line="360" w:lineRule="auto"/>
        <w:ind w:left="360" w:firstLine="348"/>
        <w:jc w:val="both"/>
        <w:rPr>
          <w:shd w:val="clear" w:color="auto" w:fill="FFFFFF"/>
        </w:rPr>
      </w:pPr>
      <w:r>
        <w:rPr>
          <w:shd w:val="clear" w:color="auto" w:fill="FFFFFF"/>
        </w:rPr>
        <w:t>На исследуемом отрезке побережья наблюдаются ветры любых направлений, однако расположение основных центров действия атмосферы определяет преобладание переноса воздушных масс в широтном направлении. Зимой устойчивое положение Азиатского максимума и наибольшая выраженность Черноморской депрессии обусловливает преобладание ветров восточной четверти, а летом противоположное расположение барических центров определяет преимущественно западный перенос.</w:t>
      </w:r>
    </w:p>
    <w:p>
      <w:pPr>
        <w:pStyle w:val="363"/>
        <w:spacing w:before="0" w:beforeAutospacing="0" w:after="0" w:afterAutospacing="0" w:line="360" w:lineRule="auto"/>
        <w:ind w:left="360" w:firstLine="348"/>
        <w:jc w:val="both"/>
        <w:rPr>
          <w:shd w:val="clear" w:color="auto" w:fill="FFFFFF"/>
        </w:rPr>
      </w:pPr>
      <w:r>
        <w:rPr>
          <w:shd w:val="clear" w:color="auto" w:fill="FFFFFF"/>
        </w:rPr>
        <w:t>По многолетним данным для годового хода повторяемости ветров района характерно преобладание в холодную часть года, с октября по апрель, ветров восточной группы румбов, а в теплую, с июля по сентябрь – западной.</w:t>
      </w:r>
    </w:p>
    <w:p>
      <w:pPr>
        <w:pStyle w:val="363"/>
        <w:spacing w:before="0" w:beforeAutospacing="0" w:after="0" w:afterAutospacing="0" w:line="360" w:lineRule="auto"/>
        <w:ind w:left="360" w:firstLine="348"/>
        <w:jc w:val="both"/>
        <w:rPr>
          <w:shd w:val="clear" w:color="auto" w:fill="FFFFFF"/>
        </w:rPr>
      </w:pPr>
      <w:r>
        <w:rPr>
          <w:shd w:val="clear" w:color="auto" w:fill="FFFFFF"/>
        </w:rPr>
        <w:t>В годовом ходе скоростей ветра выделяется два периода. С октября по апрель наблюдаются повышенные среднемесячные, а с мая по сентябрь – пониженные скорости ветра. Так, в районе косы Долгой осенью среднемесячные скорости достигают 5,9 м/с, зимой – 6,8 м/с. Весной и летом они составляют 6,1 м/с и 5,3 м/с соответственно. Максимальных значений среднемесячные скорости достигают в ноябре-феврале, а минимальных – в июне-августе.</w:t>
      </w:r>
    </w:p>
    <w:p>
      <w:pPr>
        <w:pStyle w:val="363"/>
        <w:spacing w:before="0" w:beforeAutospacing="0" w:after="0" w:afterAutospacing="0" w:line="360" w:lineRule="auto"/>
        <w:ind w:left="360" w:firstLine="348"/>
        <w:jc w:val="both"/>
        <w:rPr>
          <w:shd w:val="clear" w:color="auto" w:fill="FFFFFF"/>
        </w:rPr>
      </w:pPr>
      <w:r>
        <w:rPr>
          <w:shd w:val="clear" w:color="auto" w:fill="FFFFFF"/>
        </w:rPr>
        <w:t>Средняя многолетняя повторяемость ветров различной направленности по градациям скорости представлена в таблице 6.</w:t>
      </w:r>
    </w:p>
    <w:p>
      <w:pPr>
        <w:spacing w:line="240" w:lineRule="auto"/>
        <w:jc w:val="center"/>
        <w:rPr>
          <w:b/>
          <w:bCs/>
        </w:rPr>
      </w:pPr>
      <w:r>
        <w:rPr>
          <w:b/>
          <w:bCs/>
        </w:rPr>
        <w:t>Повторяемость (%) ветров различных направлений по градациям скорости (м/с).</w:t>
      </w:r>
    </w:p>
    <w:p>
      <w:pPr>
        <w:pStyle w:val="147"/>
        <w:numPr>
          <w:ilvl w:val="0"/>
          <w:numId w:val="20"/>
        </w:numPr>
        <w:ind w:right="142"/>
        <w:jc w:val="right"/>
        <w:rPr>
          <w:b/>
          <w:bCs/>
        </w:rPr>
      </w:pPr>
      <w:r>
        <w:rPr>
          <w:b/>
          <w:bCs/>
        </w:rPr>
        <w:t>Таблица 6</w:t>
      </w:r>
    </w:p>
    <w:tbl>
      <w:tblPr>
        <w:tblStyle w:val="1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6"/>
        <w:gridCol w:w="764"/>
        <w:gridCol w:w="939"/>
        <w:gridCol w:w="941"/>
        <w:gridCol w:w="766"/>
        <w:gridCol w:w="768"/>
        <w:gridCol w:w="946"/>
        <w:gridCol w:w="946"/>
        <w:gridCol w:w="768"/>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88" w:type="pct"/>
            <w:tcBorders>
              <w:top w:val="single" w:color="auto" w:sz="4" w:space="0"/>
              <w:left w:val="single" w:color="auto" w:sz="4" w:space="0"/>
              <w:bottom w:val="single" w:color="auto" w:sz="4" w:space="0"/>
              <w:right w:val="single" w:color="auto" w:sz="4" w:space="0"/>
            </w:tcBorders>
            <w:vAlign w:val="center"/>
          </w:tcPr>
          <w:p>
            <w:pPr>
              <w:rPr>
                <w:b/>
              </w:rPr>
            </w:pPr>
            <w:r>
              <w:rPr>
                <w:b/>
              </w:rPr>
              <w:t>Румбы</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С</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СВ</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В</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ЮВ</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Ю</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ЮЗ</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З</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СЗ</w:t>
            </w:r>
          </w:p>
        </w:tc>
        <w:tc>
          <w:tcPr>
            <w:tcW w:w="626" w:type="pct"/>
            <w:tcBorders>
              <w:top w:val="single" w:color="auto" w:sz="4" w:space="0"/>
              <w:left w:val="single" w:color="auto" w:sz="4" w:space="0"/>
              <w:right w:val="single" w:color="auto" w:sz="4" w:space="0"/>
            </w:tcBorders>
            <w:vAlign w:val="center"/>
          </w:tcPr>
          <w:p>
            <w:pPr>
              <w:jc w:val="center"/>
            </w:pPr>
            <w:r>
              <w:rPr>
                <w:b/>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8" w:type="pct"/>
            <w:tcBorders>
              <w:top w:val="single" w:color="auto" w:sz="4" w:space="0"/>
              <w:left w:val="single" w:color="auto" w:sz="4" w:space="0"/>
              <w:bottom w:val="single" w:color="auto" w:sz="4" w:space="0"/>
              <w:right w:val="single" w:color="auto" w:sz="4" w:space="0"/>
            </w:tcBorders>
            <w:vAlign w:val="center"/>
          </w:tcPr>
          <w:p>
            <w:pPr>
              <w:rPr>
                <w:b/>
              </w:rPr>
            </w:pPr>
            <w:r>
              <w:rPr>
                <w:b/>
              </w:rPr>
              <w:t>Градации</w:t>
            </w:r>
          </w:p>
          <w:p>
            <w:r>
              <w:rPr>
                <w:b/>
              </w:rPr>
              <w:t>скорости</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p>
        </w:tc>
        <w:tc>
          <w:tcPr>
            <w:tcW w:w="626" w:type="pct"/>
            <w:tcBorders>
              <w:left w:val="single" w:color="auto" w:sz="4" w:space="0"/>
              <w:bottom w:val="single" w:color="auto" w:sz="4" w:space="0"/>
              <w:right w:val="single" w:color="auto" w:sz="4" w:space="0"/>
            </w:tcBorders>
            <w:vAlign w:val="center"/>
          </w:tcPr>
          <w:p>
            <w:pPr>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088" w:type="pct"/>
            <w:tcBorders>
              <w:top w:val="single" w:color="auto" w:sz="4" w:space="0"/>
              <w:left w:val="single" w:color="auto" w:sz="4" w:space="0"/>
              <w:bottom w:val="single" w:color="auto" w:sz="4" w:space="0"/>
              <w:right w:val="single" w:color="auto" w:sz="4" w:space="0"/>
            </w:tcBorders>
          </w:tcPr>
          <w:p>
            <w:pPr>
              <w:jc w:val="both"/>
            </w:pPr>
            <w:r>
              <w:t>Штиль</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pPr>
            <w:r>
              <w:t>1-5</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r>
              <w:t>4,90</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r>
              <w:t>6,20</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r>
              <w:t>8,60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r>
              <w:t>5,40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3,10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5,30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7,70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4,70</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45,90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pPr>
            <w:r>
              <w:t>6-10</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r>
              <w:t>2,40</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r>
              <w:t>5,40</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r>
              <w:t>9,70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r>
              <w:t>3,20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1,00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3,40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6,60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3,20</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34,90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pPr>
            <w:r>
              <w:t>11-15</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r>
              <w:t>0,40</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r>
              <w:t>1,20</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r>
              <w:t>4,30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r>
              <w:t>0,80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0,20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0,90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1,70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1,10</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10,60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pPr>
            <w:r>
              <w:t>16-20</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r>
              <w:t>0,10</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r>
              <w:t>0,20</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r>
              <w:t>1,20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r>
              <w:t>0,20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0,06</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0,20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0,70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0,20</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pPr>
            <w:r>
              <w:t>Более 20</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pPr>
            <w:r>
              <w:t>0,01</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pPr>
            <w:r>
              <w:t>0,10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pPr>
            <w:r>
              <w:t>0,02</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pPr>
            <w:r>
              <w:t>0,10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pPr>
            <w:r>
              <w:t>0,01</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pPr>
            <w: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pct"/>
            <w:tcBorders>
              <w:top w:val="single" w:color="auto" w:sz="4" w:space="0"/>
              <w:left w:val="single" w:color="auto" w:sz="4" w:space="0"/>
              <w:bottom w:val="single" w:color="auto" w:sz="4" w:space="0"/>
              <w:right w:val="single" w:color="auto" w:sz="4" w:space="0"/>
            </w:tcBorders>
          </w:tcPr>
          <w:p>
            <w:pPr>
              <w:jc w:val="both"/>
              <w:rPr>
                <w:b/>
              </w:rPr>
            </w:pPr>
            <w:r>
              <w:rPr>
                <w:b/>
              </w:rPr>
              <w:t>Сумма</w:t>
            </w:r>
          </w:p>
        </w:tc>
        <w:tc>
          <w:tcPr>
            <w:tcW w:w="367"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7,80</w:t>
            </w:r>
          </w:p>
        </w:tc>
        <w:tc>
          <w:tcPr>
            <w:tcW w:w="451"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13,01</w:t>
            </w:r>
          </w:p>
        </w:tc>
        <w:tc>
          <w:tcPr>
            <w:tcW w:w="452"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23,90</w:t>
            </w:r>
          </w:p>
        </w:tc>
        <w:tc>
          <w:tcPr>
            <w:tcW w:w="368"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9,62</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4,36</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9,80</w:t>
            </w:r>
          </w:p>
        </w:tc>
        <w:tc>
          <w:tcPr>
            <w:tcW w:w="454"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16,80</w:t>
            </w:r>
          </w:p>
        </w:tc>
        <w:tc>
          <w:tcPr>
            <w:tcW w:w="369"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9,21</w:t>
            </w:r>
          </w:p>
        </w:tc>
        <w:tc>
          <w:tcPr>
            <w:tcW w:w="626" w:type="pct"/>
            <w:tcBorders>
              <w:top w:val="single" w:color="auto" w:sz="4" w:space="0"/>
              <w:left w:val="single" w:color="auto" w:sz="4" w:space="0"/>
              <w:bottom w:val="single" w:color="auto" w:sz="4" w:space="0"/>
              <w:right w:val="single" w:color="auto" w:sz="4" w:space="0"/>
            </w:tcBorders>
            <w:vAlign w:val="center"/>
          </w:tcPr>
          <w:p>
            <w:pPr>
              <w:jc w:val="center"/>
              <w:rPr>
                <w:b/>
              </w:rPr>
            </w:pPr>
            <w:r>
              <w:rPr>
                <w:b/>
              </w:rPr>
              <w:t>100</w:t>
            </w:r>
          </w:p>
        </w:tc>
      </w:tr>
    </w:tbl>
    <w:p>
      <w:pPr>
        <w:rPr>
          <w:b/>
          <w:sz w:val="28"/>
          <w:szCs w:val="28"/>
        </w:rPr>
      </w:pPr>
    </w:p>
    <w:p>
      <w:pPr>
        <w:pStyle w:val="363"/>
        <w:spacing w:before="0" w:beforeAutospacing="0" w:after="0" w:afterAutospacing="0" w:line="360" w:lineRule="auto"/>
        <w:ind w:left="360" w:firstLine="348"/>
        <w:jc w:val="both"/>
        <w:rPr>
          <w:shd w:val="clear" w:color="auto" w:fill="FFFFFF"/>
        </w:rPr>
      </w:pPr>
      <w:r>
        <w:rPr>
          <w:shd w:val="clear" w:color="auto" w:fill="FFFFFF"/>
        </w:rPr>
        <w:t>Анализ приведенных данных показывает, что наиболее частыми в районе являются ветры со скоростями 1-5 м/с (46-48%). Более сильные ветры (6-10 м/с) характеризуются несколько меньшей повторяемостью – около 35%. Тем не менее, ветры с этой скоростью играют исключительно важную роль в гидродинамике района, поскольку с ними связано формирование устойчивых течений, распространяющихся на мелководье практически на всю глубину. Штили в районе довольно редки и составляют в году не более 3-5%.</w:t>
      </w:r>
    </w:p>
    <w:p>
      <w:pPr>
        <w:pStyle w:val="363"/>
        <w:spacing w:before="0" w:beforeAutospacing="0" w:after="0" w:afterAutospacing="0" w:line="360" w:lineRule="auto"/>
        <w:ind w:left="360" w:firstLine="348"/>
        <w:jc w:val="both"/>
        <w:rPr>
          <w:shd w:val="clear" w:color="auto" w:fill="FFFFFF"/>
        </w:rPr>
      </w:pPr>
      <w:r>
        <w:rPr>
          <w:shd w:val="clear" w:color="auto" w:fill="FFFFFF"/>
        </w:rPr>
        <w:t>Ветры штормовой силы (скоростью более 11 м/с) образуют значительную долю в годовом балансе. Максимальные скорости ветра – более 20 м/с – характерны для северо-восточного и юго-западного направлений. Их повторяемость составляет около 1,5-2,5%. Предельно возможной для Азовского моря считается скорость ветра 25 м/с (Белов, 1978). Следует, однако, иметь в виду, что значения расчетных функций ветра обеспеченностью 25% и менее превосходят эту величину.</w:t>
      </w:r>
    </w:p>
    <w:p>
      <w:pPr>
        <w:pStyle w:val="363"/>
        <w:spacing w:before="0" w:beforeAutospacing="0" w:after="0" w:afterAutospacing="0" w:line="360" w:lineRule="auto"/>
        <w:ind w:left="360" w:firstLine="348"/>
        <w:jc w:val="both"/>
        <w:rPr>
          <w:shd w:val="clear" w:color="auto" w:fill="FFFFFF"/>
        </w:rPr>
      </w:pPr>
      <w:r>
        <w:rPr>
          <w:shd w:val="clear" w:color="auto" w:fill="FFFFFF"/>
        </w:rPr>
        <w:t>Таганрогский залив является одним из наиболее штормовых районов Азовского моря. Среднегодовое количество штормов приблизительно равно среднегодовому для всего моря и достигает 75, однако в отдельные годы оно значительно превышает среднюю величину. Так, в 1970г. их число составило 128.</w:t>
      </w:r>
    </w:p>
    <w:p>
      <w:pPr>
        <w:pStyle w:val="363"/>
        <w:spacing w:before="0" w:beforeAutospacing="0" w:after="0" w:afterAutospacing="0" w:line="360" w:lineRule="auto"/>
        <w:ind w:left="360" w:firstLine="348"/>
        <w:jc w:val="both"/>
        <w:rPr>
          <w:shd w:val="clear" w:color="auto" w:fill="FFFFFF"/>
        </w:rPr>
      </w:pPr>
      <w:r>
        <w:rPr>
          <w:shd w:val="clear" w:color="auto" w:fill="FFFFFF"/>
        </w:rPr>
        <w:t>Штормовые ветры в 70% случаев охватывают всю акваторию моря и имеют продолжительность более 6 часов.</w:t>
      </w:r>
    </w:p>
    <w:p>
      <w:pPr>
        <w:pStyle w:val="363"/>
        <w:spacing w:before="0" w:beforeAutospacing="0" w:after="0" w:afterAutospacing="0" w:line="360" w:lineRule="auto"/>
        <w:ind w:left="360" w:firstLine="348"/>
        <w:jc w:val="both"/>
        <w:rPr>
          <w:shd w:val="clear" w:color="auto" w:fill="FFFFFF"/>
        </w:rPr>
      </w:pPr>
      <w:r>
        <w:rPr>
          <w:shd w:val="clear" w:color="auto" w:fill="FFFFFF"/>
        </w:rPr>
        <w:t>Средняя продолжительность штормов изменяется по сезонам – от 12 часов летом (в августе) до 27-28 часов весной (в марте) и зимой (в декабре). Наибольшая непрерывная продолжительность шторма так же изменчива – от 40 часов в июле до 202 часов в ноябре. Преобладают в течение года штормы продолжительностью до суток. Наиболее продолжительные штормы вызывают ветра восточного и северо-западного направлений.</w:t>
      </w:r>
    </w:p>
    <w:p>
      <w:pPr>
        <w:pStyle w:val="4"/>
        <w:keepNext w:val="0"/>
        <w:keepLines w:val="0"/>
        <w:widowControl w:val="0"/>
        <w:numPr>
          <w:ilvl w:val="2"/>
          <w:numId w:val="21"/>
        </w:numPr>
        <w:suppressAutoHyphens/>
        <w:spacing w:before="360" w:after="120" w:line="360" w:lineRule="auto"/>
        <w:ind w:left="0" w:firstLine="0"/>
        <w:jc w:val="center"/>
        <w:rPr>
          <w:rFonts w:ascii="Times New Roman" w:hAnsi="Times New Roman"/>
          <w:color w:val="auto"/>
          <w:kern w:val="32"/>
          <w:sz w:val="28"/>
          <w:szCs w:val="28"/>
          <w:lang w:eastAsia="ru-RU"/>
        </w:rPr>
      </w:pPr>
      <w:bookmarkStart w:id="47" w:name="_Toc57203190"/>
      <w:r>
        <w:rPr>
          <w:rFonts w:ascii="Times New Roman" w:hAnsi="Times New Roman"/>
          <w:color w:val="auto"/>
          <w:kern w:val="32"/>
          <w:sz w:val="28"/>
          <w:szCs w:val="28"/>
          <w:lang w:eastAsia="ru-RU"/>
        </w:rPr>
        <w:t>Гидрография. Гидрогеология</w:t>
      </w:r>
      <w:bookmarkEnd w:id="45"/>
      <w:bookmarkEnd w:id="46"/>
      <w:bookmarkEnd w:id="47"/>
    </w:p>
    <w:p>
      <w:pPr>
        <w:pStyle w:val="363"/>
        <w:spacing w:before="0" w:beforeAutospacing="0" w:after="0" w:afterAutospacing="0" w:line="360" w:lineRule="auto"/>
        <w:ind w:left="360" w:firstLine="348"/>
        <w:jc w:val="both"/>
        <w:rPr>
          <w:shd w:val="clear" w:color="auto" w:fill="FFFFFF"/>
        </w:rPr>
      </w:pPr>
      <w:bookmarkStart w:id="48" w:name="_Toc251150497"/>
      <w:bookmarkStart w:id="49" w:name="_Toc268263634"/>
      <w:bookmarkStart w:id="50" w:name="_Toc247965266"/>
      <w:bookmarkStart w:id="51" w:name="_Toc263086807"/>
      <w:bookmarkStart w:id="52" w:name="_Toc342472311"/>
      <w:r>
        <w:rPr>
          <w:shd w:val="clear" w:color="auto" w:fill="FFFFFF"/>
        </w:rPr>
        <w:t>На территории Краснодарского края исследователями выделяются гидрогеологические структуры первого порядка:</w:t>
      </w:r>
    </w:p>
    <w:p>
      <w:pPr>
        <w:pStyle w:val="147"/>
        <w:widowControl w:val="0"/>
        <w:numPr>
          <w:ilvl w:val="0"/>
          <w:numId w:val="19"/>
        </w:numPr>
        <w:tabs>
          <w:tab w:val="left" w:pos="1134"/>
        </w:tabs>
        <w:suppressAutoHyphens/>
        <w:spacing w:after="0" w:line="360" w:lineRule="auto"/>
        <w:ind w:left="709" w:firstLine="357"/>
        <w:jc w:val="both"/>
      </w:pPr>
      <w:r>
        <w:t>Азово-Кубанский артезианский бассейн;</w:t>
      </w:r>
    </w:p>
    <w:p>
      <w:pPr>
        <w:pStyle w:val="147"/>
        <w:widowControl w:val="0"/>
        <w:numPr>
          <w:ilvl w:val="0"/>
          <w:numId w:val="19"/>
        </w:numPr>
        <w:tabs>
          <w:tab w:val="left" w:pos="1134"/>
        </w:tabs>
        <w:suppressAutoHyphens/>
        <w:spacing w:after="0" w:line="360" w:lineRule="auto"/>
        <w:ind w:left="709" w:firstLine="357"/>
        <w:jc w:val="both"/>
      </w:pPr>
      <w:r>
        <w:t>Система малых артезианских бассейнов Таманского полуострова;</w:t>
      </w:r>
    </w:p>
    <w:p>
      <w:pPr>
        <w:pStyle w:val="147"/>
        <w:widowControl w:val="0"/>
        <w:numPr>
          <w:ilvl w:val="0"/>
          <w:numId w:val="19"/>
        </w:numPr>
        <w:tabs>
          <w:tab w:val="left" w:pos="1134"/>
        </w:tabs>
        <w:suppressAutoHyphens/>
        <w:spacing w:after="0" w:line="360" w:lineRule="auto"/>
        <w:ind w:left="709" w:firstLine="357"/>
        <w:jc w:val="both"/>
      </w:pPr>
      <w:r>
        <w:t>Большекавказский бассейн подземных вод.</w:t>
      </w:r>
    </w:p>
    <w:p>
      <w:pPr>
        <w:pStyle w:val="363"/>
        <w:spacing w:before="0" w:beforeAutospacing="0" w:after="0" w:afterAutospacing="0" w:line="360" w:lineRule="auto"/>
        <w:ind w:left="360" w:firstLine="348"/>
        <w:jc w:val="both"/>
        <w:rPr>
          <w:shd w:val="clear" w:color="auto" w:fill="FFFFFF"/>
        </w:rPr>
      </w:pPr>
      <w:r>
        <w:rPr>
          <w:shd w:val="clear" w:color="auto" w:fill="FFFFFF"/>
        </w:rPr>
        <w:t>Азово-Кубанский бассейн занимает порядка 60% территории края, куда и входит территория Щербиновского района.</w:t>
      </w:r>
    </w:p>
    <w:p>
      <w:pPr>
        <w:pStyle w:val="363"/>
        <w:spacing w:before="0" w:beforeAutospacing="0" w:after="0" w:afterAutospacing="0" w:line="360" w:lineRule="auto"/>
        <w:ind w:left="360" w:firstLine="348"/>
        <w:jc w:val="both"/>
        <w:rPr>
          <w:shd w:val="clear" w:color="auto" w:fill="FFFFFF"/>
        </w:rPr>
      </w:pPr>
      <w:r>
        <w:rPr>
          <w:shd w:val="clear" w:color="auto" w:fill="FFFFFF"/>
        </w:rPr>
        <w:t>При строительном освоении территории и дальнейшей ее эксплуатации воздействию техногенных факторов подвергаются воды первого водоносного горизонта, а также и положение уровня подземных вод влияет на выбор типа фундамента. Исходя из таких факторов, при инженерно-геологических изысканиях изучается, как правило, первый водоносный горизонт подземных вод.</w:t>
      </w:r>
    </w:p>
    <w:p>
      <w:pPr>
        <w:pStyle w:val="363"/>
        <w:spacing w:before="0" w:beforeAutospacing="0" w:after="0" w:afterAutospacing="0" w:line="360" w:lineRule="auto"/>
        <w:ind w:left="360" w:firstLine="348"/>
        <w:jc w:val="both"/>
        <w:rPr>
          <w:shd w:val="clear" w:color="auto" w:fill="FFFFFF"/>
        </w:rPr>
      </w:pPr>
      <w:r>
        <w:rPr>
          <w:shd w:val="clear" w:color="auto" w:fill="FFFFFF"/>
        </w:rPr>
        <w:t>На территории распространены безнапорные воды, которые являются составной частью единой гидравлической системы с общими факторами формирования, питания и разгрузки.</w:t>
      </w:r>
    </w:p>
    <w:p>
      <w:pPr>
        <w:pStyle w:val="363"/>
        <w:spacing w:before="0" w:beforeAutospacing="0" w:after="0" w:afterAutospacing="0" w:line="360" w:lineRule="auto"/>
        <w:ind w:left="360" w:firstLine="348"/>
        <w:jc w:val="both"/>
        <w:rPr>
          <w:shd w:val="clear" w:color="auto" w:fill="FFFFFF"/>
        </w:rPr>
      </w:pPr>
      <w:r>
        <w:rPr>
          <w:shd w:val="clear" w:color="auto" w:fill="FFFFFF"/>
        </w:rPr>
        <w:t>Подземные воды морской равнины распространены от поверхности до глубины 2,0 м. Их режим гидравлически тесно связан с уровнем воды в Ейском лимане и Азовском море. Приурочены подземные воды к иловатым, песчаным и ракушечным отложениям.</w:t>
      </w:r>
    </w:p>
    <w:p>
      <w:pPr>
        <w:pStyle w:val="363"/>
        <w:spacing w:before="0" w:beforeAutospacing="0" w:after="0" w:afterAutospacing="0" w:line="360" w:lineRule="auto"/>
        <w:ind w:left="360" w:firstLine="348"/>
        <w:jc w:val="both"/>
        <w:rPr>
          <w:shd w:val="clear" w:color="auto" w:fill="FFFFFF"/>
        </w:rPr>
      </w:pPr>
      <w:r>
        <w:rPr>
          <w:shd w:val="clear" w:color="auto" w:fill="FFFFFF"/>
        </w:rPr>
        <w:t>Подземные воды первого от поверхности водоносного горизонта на склонах водоразделов и водоразделах приурочены к делювиальным и эолово-делювиальным отложениям. Они представлены суглинками. Залегание водоносного горизонта на глубине от 2,0 до 5,0-10,0 м.</w:t>
      </w:r>
    </w:p>
    <w:p>
      <w:pPr>
        <w:pStyle w:val="363"/>
        <w:spacing w:before="0" w:beforeAutospacing="0" w:after="0" w:afterAutospacing="0" w:line="360" w:lineRule="auto"/>
        <w:ind w:left="360" w:firstLine="348"/>
        <w:jc w:val="both"/>
        <w:rPr>
          <w:shd w:val="clear" w:color="auto" w:fill="FFFFFF"/>
        </w:rPr>
      </w:pPr>
      <w:r>
        <w:rPr>
          <w:shd w:val="clear" w:color="auto" w:fill="FFFFFF"/>
        </w:rPr>
        <w:t>Питание подземных вод осуществляется на всей площади их распространения, в основном за счет инфильтрации атмосферных и оросительных (на мелиоративных системах) вод, фильтрационных потерь из оросительных каналов, за счет подтока из напорных водоносных комплексов. В пределах населенных пунктов – за счет инфильтрации техногенных потерь воды.</w:t>
      </w:r>
    </w:p>
    <w:p>
      <w:pPr>
        <w:pStyle w:val="363"/>
        <w:spacing w:before="0" w:beforeAutospacing="0" w:after="0" w:afterAutospacing="0" w:line="360" w:lineRule="auto"/>
        <w:ind w:left="360" w:firstLine="348"/>
        <w:jc w:val="both"/>
        <w:rPr>
          <w:shd w:val="clear" w:color="auto" w:fill="FFFFFF"/>
        </w:rPr>
      </w:pPr>
      <w:r>
        <w:rPr>
          <w:shd w:val="clear" w:color="auto" w:fill="FFFFFF"/>
        </w:rPr>
        <w:t>Разгрузка подземных вод происходит путем естественного оттока в русло рек, балок, проток, а также за счет перетекания в ниже залегающие горизонты.</w:t>
      </w:r>
    </w:p>
    <w:p>
      <w:pPr>
        <w:pStyle w:val="363"/>
        <w:spacing w:before="0" w:beforeAutospacing="0" w:after="0" w:afterAutospacing="0" w:line="360" w:lineRule="auto"/>
        <w:ind w:left="360" w:firstLine="348"/>
        <w:jc w:val="both"/>
        <w:rPr>
          <w:shd w:val="clear" w:color="auto" w:fill="FFFFFF"/>
        </w:rPr>
      </w:pPr>
      <w:r>
        <w:rPr>
          <w:shd w:val="clear" w:color="auto" w:fill="FFFFFF"/>
        </w:rPr>
        <w:t>Колебание уровня подземных вод зависит от сезонных и многолетних изменений погодно-климатических факторов.</w:t>
      </w:r>
    </w:p>
    <w:p>
      <w:pPr>
        <w:pStyle w:val="363"/>
        <w:spacing w:before="0" w:beforeAutospacing="0" w:after="0" w:afterAutospacing="0" w:line="360" w:lineRule="auto"/>
        <w:ind w:left="360" w:firstLine="348"/>
        <w:jc w:val="both"/>
        <w:rPr>
          <w:shd w:val="clear" w:color="auto" w:fill="FFFFFF"/>
        </w:rPr>
      </w:pPr>
      <w:r>
        <w:rPr>
          <w:shd w:val="clear" w:color="auto" w:fill="FFFFFF"/>
        </w:rPr>
        <w:t>Резкий спад уровней на всех глубинах начинается одновременно в конце мая и продолжается до начала сентября.</w:t>
      </w:r>
    </w:p>
    <w:p>
      <w:pPr>
        <w:pStyle w:val="363"/>
        <w:spacing w:before="0" w:beforeAutospacing="0" w:after="0" w:afterAutospacing="0" w:line="360" w:lineRule="auto"/>
        <w:ind w:left="360" w:firstLine="348"/>
        <w:jc w:val="both"/>
        <w:rPr>
          <w:shd w:val="clear" w:color="auto" w:fill="FFFFFF"/>
        </w:rPr>
      </w:pPr>
      <w:r>
        <w:rPr>
          <w:shd w:val="clear" w:color="auto" w:fill="FFFFFF"/>
        </w:rPr>
        <w:t>Резкий подъем уровней отмечается в декабре-феврале и продолжается до мая.</w:t>
      </w:r>
    </w:p>
    <w:p>
      <w:pPr>
        <w:pStyle w:val="363"/>
        <w:spacing w:before="0" w:beforeAutospacing="0" w:after="0" w:afterAutospacing="0" w:line="360" w:lineRule="auto"/>
        <w:ind w:left="360" w:firstLine="348"/>
        <w:jc w:val="both"/>
        <w:rPr>
          <w:shd w:val="clear" w:color="auto" w:fill="FFFFFF"/>
        </w:rPr>
      </w:pPr>
      <w:r>
        <w:rPr>
          <w:shd w:val="clear" w:color="auto" w:fill="FFFFFF"/>
        </w:rPr>
        <w:t>Амплитуда колебаний уровня подземных вод изменяется от 1,5 м до 0,5 м, уменьшаясь с глубиной. Режим уровней свидетельствует о преимущественно инфильтрационном питании, а положение уровня и амплитуда колебания определяются водоносностью года и распределением осадков внутри года.</w:t>
      </w:r>
    </w:p>
    <w:p>
      <w:pPr>
        <w:pStyle w:val="4"/>
        <w:numPr>
          <w:ilvl w:val="2"/>
          <w:numId w:val="22"/>
        </w:numPr>
        <w:spacing w:before="360" w:after="120" w:line="360" w:lineRule="auto"/>
        <w:ind w:left="0" w:firstLine="851"/>
        <w:jc w:val="center"/>
        <w:rPr>
          <w:rFonts w:ascii="Times New Roman" w:hAnsi="Times New Roman"/>
          <w:color w:val="auto"/>
          <w:kern w:val="32"/>
          <w:sz w:val="28"/>
          <w:szCs w:val="28"/>
          <w:lang w:eastAsia="ru-RU"/>
        </w:rPr>
      </w:pPr>
      <w:bookmarkStart w:id="53" w:name="_Toc57203191"/>
      <w:r>
        <w:rPr>
          <w:rFonts w:ascii="Times New Roman" w:hAnsi="Times New Roman"/>
          <w:color w:val="auto"/>
          <w:kern w:val="32"/>
          <w:sz w:val="28"/>
          <w:szCs w:val="28"/>
          <w:lang w:eastAsia="ru-RU"/>
        </w:rPr>
        <w:t>Рельеф. Геологическое строение</w:t>
      </w:r>
      <w:bookmarkEnd w:id="53"/>
    </w:p>
    <w:p>
      <w:pPr>
        <w:pStyle w:val="363"/>
        <w:spacing w:before="0" w:beforeAutospacing="0" w:after="0" w:afterAutospacing="0" w:line="360" w:lineRule="auto"/>
        <w:ind w:left="360" w:firstLine="348"/>
        <w:jc w:val="both"/>
        <w:rPr>
          <w:shd w:val="clear" w:color="auto" w:fill="FFFFFF"/>
        </w:rPr>
      </w:pPr>
      <w:r>
        <w:rPr>
          <w:shd w:val="clear" w:color="auto" w:fill="FFFFFF"/>
        </w:rPr>
        <w:t>Геологическое строение территории изысканий обусловлено геоморфологическим положением и включает следующие стратиграфо-генетические комплексы четвертичных отложений:</w:t>
      </w:r>
    </w:p>
    <w:p>
      <w:pPr>
        <w:pStyle w:val="147"/>
        <w:widowControl w:val="0"/>
        <w:numPr>
          <w:ilvl w:val="0"/>
          <w:numId w:val="19"/>
        </w:numPr>
        <w:tabs>
          <w:tab w:val="left" w:pos="1134"/>
        </w:tabs>
        <w:suppressAutoHyphens/>
        <w:spacing w:after="0" w:line="360" w:lineRule="auto"/>
        <w:ind w:left="709" w:firstLine="357"/>
        <w:jc w:val="both"/>
      </w:pPr>
      <w:r>
        <w:t>голоценовые лагунно-аллювиальные отложения;</w:t>
      </w:r>
    </w:p>
    <w:p>
      <w:pPr>
        <w:pStyle w:val="147"/>
        <w:widowControl w:val="0"/>
        <w:numPr>
          <w:ilvl w:val="0"/>
          <w:numId w:val="19"/>
        </w:numPr>
        <w:tabs>
          <w:tab w:val="left" w:pos="1134"/>
        </w:tabs>
        <w:suppressAutoHyphens/>
        <w:spacing w:after="0" w:line="360" w:lineRule="auto"/>
        <w:ind w:left="709" w:firstLine="357"/>
        <w:jc w:val="both"/>
      </w:pPr>
      <w:r>
        <w:t>голоценово-верхнеплейстоценовые делювиальные отложения;</w:t>
      </w:r>
    </w:p>
    <w:p>
      <w:pPr>
        <w:pStyle w:val="147"/>
        <w:widowControl w:val="0"/>
        <w:numPr>
          <w:ilvl w:val="0"/>
          <w:numId w:val="19"/>
        </w:numPr>
        <w:tabs>
          <w:tab w:val="left" w:pos="1134"/>
        </w:tabs>
        <w:suppressAutoHyphens/>
        <w:spacing w:after="0" w:line="360" w:lineRule="auto"/>
        <w:ind w:left="709" w:firstLine="357"/>
        <w:jc w:val="both"/>
      </w:pPr>
      <w:r>
        <w:t>верхнеплейстоценовые эолово-делювиальные отложения;</w:t>
      </w:r>
    </w:p>
    <w:p>
      <w:pPr>
        <w:pStyle w:val="147"/>
        <w:widowControl w:val="0"/>
        <w:numPr>
          <w:ilvl w:val="0"/>
          <w:numId w:val="19"/>
        </w:numPr>
        <w:tabs>
          <w:tab w:val="left" w:pos="1134"/>
        </w:tabs>
        <w:suppressAutoHyphens/>
        <w:spacing w:after="0" w:line="360" w:lineRule="auto"/>
        <w:ind w:left="709" w:firstLine="357"/>
        <w:jc w:val="both"/>
      </w:pPr>
      <w:r>
        <w:t>среднеплейстоценовые эолово-делювиальные отложения;</w:t>
      </w:r>
    </w:p>
    <w:p>
      <w:pPr>
        <w:pStyle w:val="147"/>
        <w:widowControl w:val="0"/>
        <w:numPr>
          <w:ilvl w:val="0"/>
          <w:numId w:val="19"/>
        </w:numPr>
        <w:tabs>
          <w:tab w:val="left" w:pos="1134"/>
        </w:tabs>
        <w:suppressAutoHyphens/>
        <w:spacing w:after="0" w:line="360" w:lineRule="auto"/>
        <w:ind w:left="709" w:firstLine="357"/>
        <w:jc w:val="both"/>
      </w:pPr>
      <w:r>
        <w:t>нижнеплейстоценовые эолово-делювиальные отложения.</w:t>
      </w:r>
    </w:p>
    <w:p>
      <w:pPr>
        <w:pStyle w:val="363"/>
        <w:spacing w:before="0" w:beforeAutospacing="0" w:after="0" w:afterAutospacing="0" w:line="360" w:lineRule="auto"/>
        <w:ind w:left="360" w:firstLine="348"/>
        <w:jc w:val="both"/>
        <w:rPr>
          <w:shd w:val="clear" w:color="auto" w:fill="FFFFFF"/>
        </w:rPr>
      </w:pPr>
      <w:r>
        <w:rPr>
          <w:shd w:val="clear" w:color="auto" w:fill="FFFFFF"/>
        </w:rPr>
        <w:t>Голоценовые лагунно-аллювиальные отложения распространены на современной морской равнине. Представлены эти отложения с поверхности глинами и суглинками иловатыми, заторфованными, с гнездами и линзами песков. Пески различных фракций без заметного преобладания, кварцевые, светло-серые, с включением ракуши.</w:t>
      </w:r>
    </w:p>
    <w:p>
      <w:pPr>
        <w:pStyle w:val="363"/>
        <w:spacing w:before="0" w:beforeAutospacing="0" w:after="0" w:afterAutospacing="0" w:line="360" w:lineRule="auto"/>
        <w:ind w:left="360" w:firstLine="348"/>
        <w:jc w:val="both"/>
        <w:rPr>
          <w:shd w:val="clear" w:color="auto" w:fill="FFFFFF"/>
        </w:rPr>
      </w:pPr>
      <w:r>
        <w:rPr>
          <w:shd w:val="clear" w:color="auto" w:fill="FFFFFF"/>
        </w:rPr>
        <w:t>Голоценово-верхнеплейстоценовые делювиальные отложения распространены на пологих склонах в нижней и срединной частях с поверхности. Представлены эти отложения суглинками непросадочными в нижней части и просадочными в повышенной части. Суглинки желто-бурые, легкие и средние, пылеватые, лессовые, макропористые, с кристаллами гипса, гнездами и стяжениями известковых солей. В суглинках встречается горизонт ископаемой почвы.</w:t>
      </w:r>
    </w:p>
    <w:p>
      <w:pPr>
        <w:pStyle w:val="363"/>
        <w:spacing w:before="0" w:beforeAutospacing="0" w:after="0" w:afterAutospacing="0" w:line="360" w:lineRule="auto"/>
        <w:ind w:left="360" w:firstLine="348"/>
        <w:jc w:val="both"/>
        <w:rPr>
          <w:shd w:val="clear" w:color="auto" w:fill="FFFFFF"/>
        </w:rPr>
      </w:pPr>
      <w:r>
        <w:rPr>
          <w:shd w:val="clear" w:color="auto" w:fill="FFFFFF"/>
        </w:rPr>
        <w:t>Верхнеплейстоценовые эолово-делювиальные отложения распространены в приводораздельной части склона и на водораздельных пространствах. Представлены они суглинками просадочными, по механическому строению относятся к средним или легким, иногда тяжелым. В суглинках встречаются карбонатные стяжения, реже железисто-марганцевые дробинки. Наблюдаются сульфатные соли в виде мучнистых налетов и гнезд мучнистого гипса.</w:t>
      </w:r>
    </w:p>
    <w:p>
      <w:pPr>
        <w:pStyle w:val="363"/>
        <w:spacing w:before="0" w:beforeAutospacing="0" w:after="0" w:afterAutospacing="0" w:line="360" w:lineRule="auto"/>
        <w:ind w:left="360" w:firstLine="348"/>
        <w:jc w:val="both"/>
        <w:rPr>
          <w:shd w:val="clear" w:color="auto" w:fill="FFFFFF"/>
        </w:rPr>
      </w:pPr>
      <w:r>
        <w:rPr>
          <w:shd w:val="clear" w:color="auto" w:fill="FFFFFF"/>
        </w:rPr>
        <w:t>Среднеплейстоценовые эолово-делювиальные отложения распространены на глубине более 10-12 м. Представлены они суглинками и глинами. Среднеплейстоценовые суглинки включают от одного до двух горизонтов ископаемых почв, которые сложены тяжелыми суглинками и обильными железисто-марганцевыми включениями.</w:t>
      </w:r>
    </w:p>
    <w:p>
      <w:pPr>
        <w:pStyle w:val="363"/>
        <w:spacing w:before="0" w:beforeAutospacing="0" w:after="0" w:afterAutospacing="0" w:line="360" w:lineRule="auto"/>
        <w:ind w:left="360" w:firstLine="348"/>
        <w:jc w:val="both"/>
        <w:rPr>
          <w:shd w:val="clear" w:color="auto" w:fill="FFFFFF"/>
        </w:rPr>
      </w:pPr>
      <w:r>
        <w:rPr>
          <w:shd w:val="clear" w:color="auto" w:fill="FFFFFF"/>
        </w:rPr>
        <w:t>Нижнеплейстоценовые эолово-делювиальные отложения распространены на глубине более 12-15 м. Представлены они тяжелыми суглинками и глинами.</w:t>
      </w:r>
    </w:p>
    <w:p>
      <w:pPr>
        <w:pStyle w:val="363"/>
        <w:spacing w:before="0" w:beforeAutospacing="0" w:after="0" w:afterAutospacing="0" w:line="360" w:lineRule="auto"/>
        <w:ind w:left="360" w:firstLine="348"/>
        <w:jc w:val="both"/>
        <w:rPr>
          <w:shd w:val="clear" w:color="auto" w:fill="FFFFFF"/>
        </w:rPr>
      </w:pPr>
      <w:r>
        <w:rPr>
          <w:shd w:val="clear" w:color="auto" w:fill="FFFFFF"/>
        </w:rPr>
        <w:t>Территория Щербиновского района и изучаемая площадь в соответствии со схематической картой новейшей тектоники (Л.И. Турбин, Н.В. Александрова) входит в пределы Ростовского свода Украинского щита.</w:t>
      </w:r>
    </w:p>
    <w:p>
      <w:pPr>
        <w:pStyle w:val="363"/>
        <w:spacing w:before="0" w:beforeAutospacing="0" w:after="0" w:afterAutospacing="0" w:line="360" w:lineRule="auto"/>
        <w:ind w:left="360" w:firstLine="348"/>
        <w:jc w:val="both"/>
        <w:rPr>
          <w:shd w:val="clear" w:color="auto" w:fill="FFFFFF"/>
        </w:rPr>
      </w:pPr>
      <w:r>
        <w:rPr>
          <w:shd w:val="clear" w:color="auto" w:fill="FFFFFF"/>
        </w:rPr>
        <w:t>Ростовский свод представляет собой пологий приподнятый участок восточного погружения Украинского щита, где палеозойский фундамент, как и на всей обширной площади южного склона щита, облекается меловыми породами и почти горизонтально лежащими палеогеновыми и более молодыми отложениями.</w:t>
      </w:r>
    </w:p>
    <w:p>
      <w:pPr>
        <w:pStyle w:val="363"/>
        <w:spacing w:before="0" w:beforeAutospacing="0" w:after="0" w:afterAutospacing="0" w:line="360" w:lineRule="auto"/>
        <w:ind w:left="360" w:firstLine="348"/>
        <w:jc w:val="both"/>
        <w:rPr>
          <w:shd w:val="clear" w:color="auto" w:fill="FFFFFF"/>
        </w:rPr>
      </w:pPr>
      <w:r>
        <w:rPr>
          <w:shd w:val="clear" w:color="auto" w:fill="FFFFFF"/>
        </w:rPr>
        <w:t>Вершина свода соответствует устью р. Дон в 20 км к юго-западу от г. Ростова. Фундамент здесь залегает на глубинах 380-400 м, вдоль оси к западу он понижается до 500-550 и 600 м, чем определяется неглубокое Таганрогское седло, отделяющее Ростовский свод от Украинского щита. Ростовский свод является частью Русской плиты, по фундаменту ему соответствует Ростовский выступ допалеозойских (архейско-среднерифейских) кристаллических образований, имеющий антиклинорное строение. Отвечающее ему поле развития докембрийских гнейсов, гранитов и кристаллических сланцев представлено вытянутым субширотным многоугольником длиной около 125 км.</w:t>
      </w:r>
    </w:p>
    <w:p>
      <w:pPr>
        <w:pStyle w:val="363"/>
        <w:spacing w:before="0" w:beforeAutospacing="0" w:after="0" w:afterAutospacing="0" w:line="360" w:lineRule="auto"/>
        <w:ind w:left="360" w:firstLine="348"/>
        <w:jc w:val="both"/>
        <w:rPr>
          <w:shd w:val="clear" w:color="auto" w:fill="FFFFFF"/>
        </w:rPr>
      </w:pPr>
      <w:r>
        <w:rPr>
          <w:shd w:val="clear" w:color="auto" w:fill="FFFFFF"/>
        </w:rPr>
        <w:t>Границы свода и выступа на плане совпадают. На севере, востоке и юге они определяются появлением в составе фундамента срезанных домезозойских денудаций палеозойских дислоцированных пород, слагающих основание прилегающей с севера, востока и юга Скифской плиты.</w:t>
      </w:r>
    </w:p>
    <w:p>
      <w:pPr>
        <w:pStyle w:val="363"/>
        <w:spacing w:before="0" w:beforeAutospacing="0" w:after="0" w:afterAutospacing="0" w:line="360" w:lineRule="auto"/>
        <w:ind w:left="360" w:firstLine="348"/>
        <w:jc w:val="both"/>
        <w:rPr>
          <w:shd w:val="clear" w:color="auto" w:fill="FFFFFF"/>
        </w:rPr>
      </w:pPr>
      <w:r>
        <w:rPr>
          <w:shd w:val="clear" w:color="auto" w:fill="FFFFFF"/>
        </w:rPr>
        <w:t>Склоны Ростовского выступа осложнены разрывами, ограничивающими ряд горстообразных блоков, облекаемых базальными горизонтами чехла, что может быть причиной образования ловушек и залежей углеводородов.</w:t>
      </w:r>
    </w:p>
    <w:p>
      <w:pPr>
        <w:pStyle w:val="363"/>
        <w:spacing w:before="0" w:beforeAutospacing="0" w:after="0" w:afterAutospacing="0" w:line="360" w:lineRule="auto"/>
        <w:ind w:left="360" w:firstLine="348"/>
        <w:jc w:val="both"/>
        <w:rPr>
          <w:shd w:val="clear" w:color="auto" w:fill="FFFFFF"/>
        </w:rPr>
      </w:pPr>
      <w:r>
        <w:rPr>
          <w:shd w:val="clear" w:color="auto" w:fill="FFFFFF"/>
        </w:rPr>
        <w:t>Тектонических нарушений, пересекающих территорию изысканий в соответствии со схематической картой новейшей тектоники (Турбин Л.И., Александрова Н.В., масштаб 1:500 000, 1979 г.) не отмечено.</w:t>
      </w:r>
    </w:p>
    <w:bookmarkEnd w:id="48"/>
    <w:bookmarkEnd w:id="49"/>
    <w:bookmarkEnd w:id="50"/>
    <w:bookmarkEnd w:id="51"/>
    <w:bookmarkEnd w:id="52"/>
    <w:p>
      <w:pPr>
        <w:pStyle w:val="2"/>
        <w:keepLines/>
        <w:pageBreakBefore/>
        <w:numPr>
          <w:ilvl w:val="1"/>
          <w:numId w:val="23"/>
        </w:numPr>
        <w:suppressAutoHyphens/>
        <w:spacing w:before="0" w:after="480" w:line="360" w:lineRule="auto"/>
        <w:jc w:val="center"/>
        <w:rPr>
          <w:rFonts w:ascii="Times New Roman" w:hAnsi="Times New Roman"/>
        </w:rPr>
      </w:pPr>
      <w:bookmarkStart w:id="54" w:name="_Toc57203192"/>
      <w:bookmarkStart w:id="55" w:name="_Toc342472313"/>
      <w:r>
        <w:rPr>
          <w:rFonts w:ascii="Times New Roman" w:hAnsi="Times New Roman"/>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54"/>
      <w:bookmarkEnd w:id="55"/>
    </w:p>
    <w:p>
      <w:pPr>
        <w:pStyle w:val="147"/>
        <w:keepLines/>
        <w:suppressAutoHyphens/>
        <w:spacing w:after="0" w:line="360" w:lineRule="auto"/>
        <w:ind w:left="0" w:firstLine="851"/>
        <w:jc w:val="both"/>
      </w:pPr>
      <w:r>
        <w:t>При разработке Генерального плана рассматривались 2 варианта развития муниципального образования: инерционный и инновационный.</w:t>
      </w:r>
    </w:p>
    <w:p>
      <w:pPr>
        <w:pStyle w:val="147"/>
        <w:keepLines/>
        <w:suppressAutoHyphens/>
        <w:spacing w:after="0" w:line="360" w:lineRule="auto"/>
        <w:ind w:left="0" w:firstLine="851"/>
        <w:jc w:val="both"/>
      </w:pPr>
      <w:r>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подержанием достигнутого уровня социально-экономического развития). </w:t>
      </w:r>
    </w:p>
    <w:p>
      <w:pPr>
        <w:pStyle w:val="147"/>
        <w:keepLines/>
        <w:suppressAutoHyphens/>
        <w:spacing w:after="0" w:line="360" w:lineRule="auto"/>
        <w:ind w:left="0" w:firstLine="851"/>
        <w:jc w:val="both"/>
      </w:pPr>
      <w: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муниципального образования.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pPr>
        <w:pStyle w:val="147"/>
        <w:keepLines/>
        <w:suppressAutoHyphens/>
        <w:spacing w:after="0" w:line="360" w:lineRule="auto"/>
        <w:ind w:left="0" w:firstLine="851"/>
        <w:jc w:val="both"/>
      </w:pPr>
      <w:r>
        <w:t>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образования.</w:t>
      </w:r>
    </w:p>
    <w:p>
      <w:pPr>
        <w:pStyle w:val="147"/>
        <w:keepLines/>
        <w:suppressAutoHyphens/>
        <w:spacing w:after="0" w:line="360" w:lineRule="auto"/>
        <w:ind w:left="0" w:firstLine="851"/>
        <w:jc w:val="both"/>
      </w:pPr>
      <w:r>
        <w:t>Инновационный вариант развития муниципального образования разрабатывался на основе следующих нормативных документов:</w:t>
      </w:r>
    </w:p>
    <w:p>
      <w:pPr>
        <w:pStyle w:val="147"/>
        <w:keepLines/>
        <w:numPr>
          <w:ilvl w:val="0"/>
          <w:numId w:val="24"/>
        </w:numPr>
        <w:suppressAutoHyphens/>
        <w:spacing w:after="0" w:line="360" w:lineRule="auto"/>
        <w:ind w:left="851" w:firstLine="0"/>
        <w:jc w:val="both"/>
        <w:rPr>
          <w:iCs/>
        </w:rPr>
      </w:pPr>
      <w:r>
        <w:rPr>
          <w:iCs/>
        </w:rPr>
        <w:t>Федерального закона от 06.10.2003г. № 131-ФЗ «Об общих принципах организации местного самоуправления в Российской Федерации»;</w:t>
      </w:r>
    </w:p>
    <w:p>
      <w:pPr>
        <w:pStyle w:val="147"/>
        <w:keepLines/>
        <w:numPr>
          <w:ilvl w:val="0"/>
          <w:numId w:val="24"/>
        </w:numPr>
        <w:suppressAutoHyphens/>
        <w:spacing w:after="0" w:line="360" w:lineRule="auto"/>
        <w:ind w:left="851" w:firstLine="0"/>
        <w:jc w:val="both"/>
        <w:rPr>
          <w:iCs/>
        </w:rPr>
      </w:pPr>
      <w:r>
        <w:rPr>
          <w:iCs/>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pPr>
        <w:suppressAutoHyphens/>
        <w:spacing w:after="0" w:line="360" w:lineRule="auto"/>
        <w:ind w:firstLine="851"/>
        <w:jc w:val="both"/>
      </w:pPr>
      <w:r>
        <w:t xml:space="preserve">Главным условием реализации инновационного варианта развития является привлечение в экономику, инфраструктуру и социальную сферу муниципального образования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pPr>
        <w:pStyle w:val="147"/>
        <w:suppressAutoHyphens/>
        <w:spacing w:after="0" w:line="360" w:lineRule="auto"/>
        <w:ind w:left="0" w:firstLine="851"/>
        <w:jc w:val="both"/>
      </w:pPr>
      <w:r>
        <w:t>При анализе существующей ситуации были учтены планировочные ограничения, влияющие на территориальное развитие муниципального образования.</w:t>
      </w:r>
    </w:p>
    <w:p>
      <w:pPr>
        <w:pStyle w:val="3"/>
        <w:keepLines/>
        <w:numPr>
          <w:ilvl w:val="2"/>
          <w:numId w:val="23"/>
        </w:numPr>
        <w:suppressAutoHyphens/>
        <w:spacing w:before="480" w:after="360" w:line="360" w:lineRule="auto"/>
        <w:jc w:val="center"/>
        <w:rPr>
          <w:rFonts w:ascii="Times New Roman" w:hAnsi="Times New Roman"/>
          <w:i w:val="0"/>
          <w:sz w:val="30"/>
          <w:szCs w:val="30"/>
        </w:rPr>
      </w:pPr>
      <w:bookmarkStart w:id="56" w:name="_Toc315701099"/>
      <w:bookmarkEnd w:id="56"/>
      <w:bookmarkStart w:id="57" w:name="_Toc315701098"/>
      <w:bookmarkEnd w:id="57"/>
      <w:bookmarkStart w:id="58" w:name="_Toc57203193"/>
      <w:r>
        <w:rPr>
          <w:rFonts w:ascii="Times New Roman" w:hAnsi="Times New Roman"/>
          <w:i w:val="0"/>
          <w:sz w:val="30"/>
          <w:szCs w:val="30"/>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bookmarkEnd w:id="58"/>
    </w:p>
    <w:p>
      <w:pPr>
        <w:pStyle w:val="147"/>
        <w:numPr>
          <w:ilvl w:val="0"/>
          <w:numId w:val="25"/>
        </w:numPr>
        <w:suppressAutoHyphens/>
        <w:spacing w:after="0" w:line="360" w:lineRule="auto"/>
        <w:jc w:val="both"/>
      </w:pPr>
      <w:bookmarkStart w:id="59" w:name="_Toc268263635"/>
      <w:bookmarkStart w:id="60" w:name="_Toc342472315"/>
      <w:r>
        <w:t xml:space="preserve"> «Развитие физической культуры и спорта в Ейскоукрепленском сельском поселении Щербиновского района на 2020-2024 г.г.»</w:t>
      </w:r>
    </w:p>
    <w:p>
      <w:pPr>
        <w:pStyle w:val="147"/>
        <w:numPr>
          <w:ilvl w:val="0"/>
          <w:numId w:val="25"/>
        </w:numPr>
        <w:suppressAutoHyphens/>
        <w:spacing w:after="0" w:line="360" w:lineRule="auto"/>
        <w:jc w:val="both"/>
      </w:pPr>
      <w:r>
        <w:t>«Сохранение, использование и популяризация объектов культурного наследия (памятников истории и культуры), находящихся на территории Ейскоукрепленского сельского поселения Щербиновского района на 2020-2024 г.г.»</w:t>
      </w:r>
    </w:p>
    <w:p>
      <w:pPr>
        <w:pStyle w:val="147"/>
        <w:numPr>
          <w:ilvl w:val="0"/>
          <w:numId w:val="25"/>
        </w:numPr>
        <w:suppressAutoHyphens/>
        <w:spacing w:after="0" w:line="360" w:lineRule="auto"/>
        <w:jc w:val="both"/>
      </w:pPr>
      <w:r>
        <w:t>«Развитие культуры в Ейскоукрепленском сельском поселении Щербиновского района на 2020-2024 г.г.»</w:t>
      </w:r>
    </w:p>
    <w:p>
      <w:pPr>
        <w:pStyle w:val="147"/>
        <w:numPr>
          <w:ilvl w:val="0"/>
          <w:numId w:val="25"/>
        </w:numPr>
        <w:suppressAutoHyphens/>
        <w:spacing w:after="0" w:line="360" w:lineRule="auto"/>
        <w:jc w:val="both"/>
      </w:pPr>
      <w:r>
        <w:t>«Молодежь Ейскоукрепленского сельского поселения Щербиновского района на 2020-2024 г.г.»</w:t>
      </w:r>
    </w:p>
    <w:p>
      <w:pPr>
        <w:pStyle w:val="147"/>
        <w:numPr>
          <w:ilvl w:val="0"/>
          <w:numId w:val="25"/>
        </w:numPr>
        <w:suppressAutoHyphens/>
        <w:spacing w:after="0" w:line="360" w:lineRule="auto"/>
        <w:jc w:val="both"/>
      </w:pPr>
      <w:r>
        <w:t>«Комплексное развитие жилищно-коммунального хозяйства, энергосбережение и повышение энергетической эффективности Ейскоукрепленского сельского поселения Щербиновского района на 2020-2024 г.г.»</w:t>
      </w:r>
    </w:p>
    <w:p>
      <w:pPr>
        <w:pStyle w:val="147"/>
        <w:numPr>
          <w:ilvl w:val="0"/>
          <w:numId w:val="25"/>
        </w:numPr>
        <w:suppressAutoHyphens/>
        <w:spacing w:after="0" w:line="360" w:lineRule="auto"/>
        <w:jc w:val="both"/>
      </w:pPr>
      <w:r>
        <w:t>«Обеспечение безопасности на территории Ейскоукрепленского сельского поселения Щербиновского района на 2020-2024 г.г.»</w:t>
      </w:r>
    </w:p>
    <w:p>
      <w:pPr>
        <w:pStyle w:val="147"/>
        <w:numPr>
          <w:ilvl w:val="0"/>
          <w:numId w:val="25"/>
        </w:numPr>
        <w:suppressAutoHyphens/>
        <w:spacing w:after="0" w:line="360" w:lineRule="auto"/>
        <w:jc w:val="both"/>
      </w:pPr>
      <w:r>
        <w:t xml:space="preserve"> «Развитие дорожного хозяйства в Ейскоукрепленском сельском поселении Щербиновского района на 2020-2024 г.г.»</w:t>
      </w:r>
    </w:p>
    <w:p>
      <w:pPr>
        <w:pStyle w:val="147"/>
        <w:numPr>
          <w:ilvl w:val="0"/>
          <w:numId w:val="25"/>
        </w:numPr>
        <w:suppressAutoHyphens/>
        <w:spacing w:after="0" w:line="360" w:lineRule="auto"/>
        <w:jc w:val="both"/>
      </w:pPr>
      <w:r>
        <w:t>«Развитие субъектов малого и среднего предпринимательства в Ейскоукрепленском сельском поселении Щербиновского района на 2020-2024 г.г.»</w:t>
      </w:r>
    </w:p>
    <w:p>
      <w:pPr>
        <w:pStyle w:val="147"/>
        <w:numPr>
          <w:ilvl w:val="0"/>
          <w:numId w:val="25"/>
        </w:numPr>
        <w:suppressAutoHyphens/>
        <w:spacing w:after="0" w:line="360" w:lineRule="auto"/>
        <w:jc w:val="both"/>
      </w:pPr>
      <w:r>
        <w:t>«Управление муниципальным имуществом Ейскоукрепленского сельского поселения Щербиновского района на 2020-2024 г.г.»</w:t>
      </w:r>
    </w:p>
    <w:p>
      <w:pPr>
        <w:pStyle w:val="147"/>
        <w:numPr>
          <w:ilvl w:val="0"/>
          <w:numId w:val="25"/>
        </w:numPr>
        <w:suppressAutoHyphens/>
        <w:spacing w:after="0" w:line="360" w:lineRule="auto"/>
        <w:jc w:val="both"/>
      </w:pPr>
      <w:r>
        <w:t>«Обеспечение деятельности администрации Ейскоукрепленского сельского поселения Щербиновского района на 2020-2024 г.г.»</w:t>
      </w:r>
    </w:p>
    <w:p>
      <w:pPr>
        <w:pStyle w:val="3"/>
        <w:keepLines/>
        <w:suppressAutoHyphens/>
        <w:spacing w:before="480" w:after="360" w:line="360" w:lineRule="auto"/>
        <w:jc w:val="center"/>
        <w:rPr>
          <w:rFonts w:ascii="Times New Roman" w:hAnsi="Times New Roman"/>
          <w:i w:val="0"/>
          <w:sz w:val="30"/>
          <w:szCs w:val="30"/>
        </w:rPr>
      </w:pPr>
      <w:bookmarkStart w:id="61" w:name="_Toc57203194"/>
      <w:r>
        <w:rPr>
          <w:rFonts w:ascii="Times New Roman" w:hAnsi="Times New Roman"/>
          <w:i w:val="0"/>
          <w:sz w:val="30"/>
          <w:szCs w:val="30"/>
        </w:rPr>
        <w:t>2.2 Территориально-планировочная организация муниципального образования. Баланс земель территории муниципального образования</w:t>
      </w:r>
      <w:bookmarkEnd w:id="59"/>
      <w:bookmarkEnd w:id="60"/>
      <w:bookmarkEnd w:id="61"/>
    </w:p>
    <w:p>
      <w:pPr>
        <w:pStyle w:val="282"/>
        <w:rPr>
          <w:sz w:val="24"/>
        </w:rPr>
      </w:pPr>
      <w:r>
        <w:rPr>
          <w:sz w:val="24"/>
        </w:rPr>
        <w:t>Генеральный план Ейскоукрепленского сельского поселения устанавливает функциональное зонирование территории сельского поселения и населенных пунктов, входящих в его состав, исходя из совокупности социальных, экономических, экологических и иных факторов в целях устойчивого развития территорий, развития инженерной, транспортной, социальной инфраструктур.</w:t>
      </w:r>
    </w:p>
    <w:p>
      <w:pPr>
        <w:pStyle w:val="282"/>
        <w:rPr>
          <w:sz w:val="24"/>
        </w:rPr>
      </w:pPr>
      <w:r>
        <w:rPr>
          <w:sz w:val="24"/>
        </w:rPr>
        <w:t xml:space="preserve">Сложившаяся структура территорий и существующий природный каркас являются основой для проектных предложений по формированию планировочной структуры сельского поселения. </w:t>
      </w:r>
    </w:p>
    <w:p>
      <w:pPr>
        <w:pStyle w:val="282"/>
        <w:rPr>
          <w:sz w:val="24"/>
        </w:rPr>
      </w:pPr>
      <w:r>
        <w:rPr>
          <w:sz w:val="24"/>
        </w:rPr>
        <w:t xml:space="preserve">На территории муниципального образования сформированы зоны сельскохозяйственного назначения, зоны производственного и коммунально-складского назначения, зоны транспортной, инженерной инфраструктуры, зоны специального назначения. </w:t>
      </w:r>
    </w:p>
    <w:p>
      <w:pPr>
        <w:pStyle w:val="282"/>
        <w:rPr>
          <w:sz w:val="24"/>
        </w:rPr>
      </w:pPr>
      <w:r>
        <w:rPr>
          <w:sz w:val="24"/>
        </w:rPr>
        <w:t>Баланс современного использования территории села Ейское Укрепление представлен в таблице 7.</w:t>
      </w:r>
    </w:p>
    <w:p>
      <w:pPr>
        <w:pStyle w:val="282"/>
        <w:rPr>
          <w:sz w:val="24"/>
        </w:rPr>
      </w:pPr>
    </w:p>
    <w:p>
      <w:pPr>
        <w:spacing w:line="240" w:lineRule="auto"/>
        <w:jc w:val="center"/>
        <w:rPr>
          <w:b/>
          <w:bCs/>
        </w:rPr>
      </w:pPr>
      <w:r>
        <w:rPr>
          <w:b/>
          <w:bCs/>
        </w:rPr>
        <w:t>Баланс современного использования территории села Ейское Укрепление</w:t>
      </w:r>
    </w:p>
    <w:p>
      <w:pPr>
        <w:pStyle w:val="147"/>
        <w:numPr>
          <w:ilvl w:val="0"/>
          <w:numId w:val="23"/>
        </w:numPr>
        <w:ind w:right="142"/>
        <w:jc w:val="right"/>
        <w:rPr>
          <w:b/>
          <w:bCs/>
        </w:rPr>
      </w:pPr>
      <w:r>
        <w:rPr>
          <w:b/>
          <w:bCs/>
        </w:rPr>
        <w:t>Таблица 7</w:t>
      </w:r>
    </w:p>
    <w:tbl>
      <w:tblPr>
        <w:tblStyle w:val="12"/>
        <w:tblW w:w="5000" w:type="pct"/>
        <w:tblInd w:w="0" w:type="dxa"/>
        <w:tblLayout w:type="autofit"/>
        <w:tblCellMar>
          <w:top w:w="0" w:type="dxa"/>
          <w:left w:w="108" w:type="dxa"/>
          <w:bottom w:w="0" w:type="dxa"/>
          <w:right w:w="108" w:type="dxa"/>
        </w:tblCellMar>
      </w:tblPr>
      <w:tblGrid>
        <w:gridCol w:w="1015"/>
        <w:gridCol w:w="5399"/>
        <w:gridCol w:w="1799"/>
        <w:gridCol w:w="2209"/>
      </w:tblGrid>
      <w:tr>
        <w:tblPrEx>
          <w:tblCellMar>
            <w:top w:w="0" w:type="dxa"/>
            <w:left w:w="108" w:type="dxa"/>
            <w:bottom w:w="0" w:type="dxa"/>
            <w:right w:w="108" w:type="dxa"/>
          </w:tblCellMar>
        </w:tblPrEx>
        <w:trPr>
          <w:trHeight w:val="473" w:hRule="atLeast"/>
          <w:tblHeader/>
        </w:trPr>
        <w:tc>
          <w:tcPr>
            <w:tcW w:w="487" w:type="pct"/>
            <w:tcBorders>
              <w:top w:val="single" w:color="000000" w:sz="4" w:space="0"/>
              <w:left w:val="single" w:color="000000" w:sz="4" w:space="0"/>
              <w:bottom w:val="single" w:color="000000" w:sz="4" w:space="0"/>
            </w:tcBorders>
            <w:vAlign w:val="center"/>
          </w:tcPr>
          <w:p>
            <w:pPr>
              <w:widowControl w:val="0"/>
              <w:snapToGrid w:val="0"/>
              <w:ind w:right="-1"/>
              <w:jc w:val="center"/>
              <w:rPr>
                <w:b/>
              </w:rPr>
            </w:pPr>
            <w:r>
              <w:rPr>
                <w:b/>
              </w:rPr>
              <w:t>№ п/п</w:t>
            </w:r>
          </w:p>
        </w:tc>
        <w:tc>
          <w:tcPr>
            <w:tcW w:w="2590" w:type="pct"/>
            <w:tcBorders>
              <w:top w:val="single" w:color="000000" w:sz="4" w:space="0"/>
              <w:left w:val="single" w:color="000000" w:sz="4" w:space="0"/>
              <w:bottom w:val="single" w:color="000000" w:sz="4" w:space="0"/>
            </w:tcBorders>
            <w:vAlign w:val="center"/>
          </w:tcPr>
          <w:p>
            <w:pPr>
              <w:widowControl w:val="0"/>
              <w:snapToGrid w:val="0"/>
              <w:ind w:right="-1"/>
              <w:jc w:val="center"/>
              <w:rPr>
                <w:b/>
              </w:rPr>
            </w:pPr>
            <w:r>
              <w:rPr>
                <w:b/>
              </w:rPr>
              <w:t>Наименование территории</w:t>
            </w:r>
          </w:p>
        </w:tc>
        <w:tc>
          <w:tcPr>
            <w:tcW w:w="863" w:type="pct"/>
            <w:tcBorders>
              <w:top w:val="single" w:color="000000" w:sz="4" w:space="0"/>
              <w:left w:val="single" w:color="000000" w:sz="4" w:space="0"/>
              <w:bottom w:val="single" w:color="000000" w:sz="4" w:space="0"/>
            </w:tcBorders>
            <w:vAlign w:val="center"/>
          </w:tcPr>
          <w:p>
            <w:pPr>
              <w:widowControl w:val="0"/>
              <w:snapToGrid w:val="0"/>
              <w:ind w:right="-1"/>
              <w:jc w:val="center"/>
              <w:rPr>
                <w:b/>
              </w:rPr>
            </w:pPr>
            <w:r>
              <w:rPr>
                <w:b/>
              </w:rPr>
              <w:t>Ед. изм.</w:t>
            </w:r>
          </w:p>
        </w:tc>
        <w:tc>
          <w:tcPr>
            <w:tcW w:w="1060" w:type="pct"/>
            <w:tcBorders>
              <w:top w:val="single" w:color="000000" w:sz="4" w:space="0"/>
              <w:left w:val="single" w:color="000000" w:sz="4" w:space="0"/>
              <w:bottom w:val="single" w:color="000000" w:sz="4" w:space="0"/>
              <w:right w:val="single" w:color="000000" w:sz="4" w:space="0"/>
            </w:tcBorders>
            <w:vAlign w:val="center"/>
          </w:tcPr>
          <w:p>
            <w:pPr>
              <w:widowControl w:val="0"/>
              <w:snapToGrid w:val="0"/>
              <w:ind w:right="-1"/>
              <w:jc w:val="center"/>
              <w:rPr>
                <w:b/>
              </w:rPr>
            </w:pPr>
            <w:r>
              <w:rPr>
                <w:b/>
              </w:rPr>
              <w:t>Показатель</w:t>
            </w:r>
          </w:p>
        </w:tc>
      </w:tr>
      <w:tr>
        <w:tblPrEx>
          <w:tblCellMar>
            <w:top w:w="0" w:type="dxa"/>
            <w:left w:w="108" w:type="dxa"/>
            <w:bottom w:w="0" w:type="dxa"/>
            <w:right w:w="108" w:type="dxa"/>
          </w:tblCellMar>
        </w:tblPrEx>
        <w:trPr>
          <w:trHeight w:val="473" w:hRule="atLeast"/>
        </w:trPr>
        <w:tc>
          <w:tcPr>
            <w:tcW w:w="487" w:type="pct"/>
            <w:tcBorders>
              <w:top w:val="single" w:color="000000" w:sz="4" w:space="0"/>
              <w:left w:val="single" w:color="000000" w:sz="4" w:space="0"/>
              <w:bottom w:val="single" w:color="000000" w:sz="4" w:space="0"/>
            </w:tcBorders>
            <w:vAlign w:val="center"/>
          </w:tcPr>
          <w:p>
            <w:pPr>
              <w:widowControl w:val="0"/>
              <w:snapToGrid w:val="0"/>
              <w:ind w:right="-1"/>
            </w:pPr>
            <w:r>
              <w:t>баланс</w:t>
            </w:r>
          </w:p>
        </w:tc>
        <w:tc>
          <w:tcPr>
            <w:tcW w:w="2590" w:type="pct"/>
            <w:tcBorders>
              <w:top w:val="single" w:color="000000" w:sz="4" w:space="0"/>
              <w:left w:val="single" w:color="000000" w:sz="4" w:space="0"/>
              <w:bottom w:val="single" w:color="000000" w:sz="4" w:space="0"/>
            </w:tcBorders>
            <w:vAlign w:val="center"/>
          </w:tcPr>
          <w:p>
            <w:pPr>
              <w:widowControl w:val="0"/>
              <w:snapToGrid w:val="0"/>
              <w:ind w:right="-1"/>
            </w:pPr>
            <w:r>
              <w:t>Общая площадь земель населенного пункта в установленных границах.</w:t>
            </w:r>
          </w:p>
          <w:p>
            <w:pPr>
              <w:widowControl w:val="0"/>
              <w:snapToGrid w:val="0"/>
              <w:ind w:right="-1"/>
            </w:pPr>
            <w:r>
              <w:t>Всего:</w:t>
            </w:r>
          </w:p>
          <w:p>
            <w:pPr>
              <w:widowControl w:val="0"/>
              <w:snapToGrid w:val="0"/>
              <w:ind w:right="-1"/>
            </w:pPr>
            <w:r>
              <w:t>В том числе:</w:t>
            </w:r>
          </w:p>
        </w:tc>
        <w:tc>
          <w:tcPr>
            <w:tcW w:w="863" w:type="pct"/>
            <w:tcBorders>
              <w:top w:val="single" w:color="000000" w:sz="4" w:space="0"/>
              <w:left w:val="single" w:color="000000" w:sz="4" w:space="0"/>
              <w:bottom w:val="single" w:color="000000" w:sz="4" w:space="0"/>
            </w:tcBorders>
            <w:vAlign w:val="center"/>
          </w:tcPr>
          <w:p>
            <w:pPr>
              <w:widowControl w:val="0"/>
              <w:snapToGrid w:val="0"/>
              <w:ind w:right="-1"/>
              <w:jc w:val="center"/>
            </w:pPr>
          </w:p>
          <w:p>
            <w:pPr>
              <w:widowControl w:val="0"/>
              <w:snapToGrid w:val="0"/>
              <w:ind w:right="-1"/>
              <w:jc w:val="center"/>
            </w:pPr>
            <w:r>
              <w:t>га</w:t>
            </w:r>
          </w:p>
        </w:tc>
        <w:tc>
          <w:tcPr>
            <w:tcW w:w="1060" w:type="pct"/>
            <w:tcBorders>
              <w:top w:val="single" w:color="000000" w:sz="4" w:space="0"/>
              <w:left w:val="single" w:color="000000" w:sz="4" w:space="0"/>
              <w:bottom w:val="single" w:color="000000" w:sz="4" w:space="0"/>
              <w:right w:val="single" w:color="000000" w:sz="4" w:space="0"/>
            </w:tcBorders>
            <w:vAlign w:val="center"/>
          </w:tcPr>
          <w:p>
            <w:pPr>
              <w:widowControl w:val="0"/>
              <w:snapToGrid w:val="0"/>
              <w:ind w:right="-1"/>
              <w:jc w:val="center"/>
            </w:pPr>
          </w:p>
          <w:p>
            <w:pPr>
              <w:widowControl w:val="0"/>
              <w:snapToGrid w:val="0"/>
              <w:ind w:right="-1"/>
              <w:jc w:val="center"/>
            </w:pPr>
            <w:r>
              <w:t>311,39</w:t>
            </w:r>
          </w:p>
        </w:tc>
      </w:tr>
      <w:tr>
        <w:tblPrEx>
          <w:tblCellMar>
            <w:top w:w="0" w:type="dxa"/>
            <w:left w:w="108" w:type="dxa"/>
            <w:bottom w:w="0" w:type="dxa"/>
            <w:right w:w="108" w:type="dxa"/>
          </w:tblCellMar>
        </w:tblPrEx>
        <w:trPr>
          <w:trHeight w:val="473" w:hRule="atLeast"/>
        </w:trPr>
        <w:tc>
          <w:tcPr>
            <w:tcW w:w="487" w:type="pct"/>
            <w:tcBorders>
              <w:top w:val="single" w:color="000000" w:sz="4" w:space="0"/>
              <w:left w:val="single" w:color="000000" w:sz="4" w:space="0"/>
              <w:bottom w:val="single" w:color="000000" w:sz="4" w:space="0"/>
            </w:tcBorders>
            <w:vAlign w:val="center"/>
          </w:tcPr>
          <w:p>
            <w:pPr>
              <w:widowControl w:val="0"/>
              <w:snapToGrid w:val="0"/>
              <w:ind w:right="-1"/>
            </w:pPr>
            <w:r>
              <w:t>1.1</w:t>
            </w:r>
          </w:p>
        </w:tc>
        <w:tc>
          <w:tcPr>
            <w:tcW w:w="2590" w:type="pct"/>
            <w:tcBorders>
              <w:top w:val="single" w:color="000000" w:sz="4" w:space="0"/>
              <w:left w:val="single" w:color="000000" w:sz="4" w:space="0"/>
              <w:bottom w:val="single" w:color="000000" w:sz="4" w:space="0"/>
            </w:tcBorders>
            <w:vAlign w:val="center"/>
          </w:tcPr>
          <w:p>
            <w:pPr>
              <w:widowControl w:val="0"/>
              <w:snapToGrid w:val="0"/>
              <w:ind w:right="-1"/>
            </w:pPr>
            <w:r>
              <w:t xml:space="preserve">Территория существующей индивидуальной жилой застройки </w:t>
            </w:r>
          </w:p>
        </w:tc>
        <w:tc>
          <w:tcPr>
            <w:tcW w:w="863" w:type="pct"/>
            <w:tcBorders>
              <w:top w:val="single" w:color="000000" w:sz="4" w:space="0"/>
              <w:left w:val="single" w:color="000000" w:sz="4" w:space="0"/>
              <w:bottom w:val="single" w:color="000000" w:sz="4" w:space="0"/>
            </w:tcBorders>
            <w:vAlign w:val="center"/>
          </w:tcPr>
          <w:p>
            <w:pPr>
              <w:widowControl w:val="0"/>
              <w:snapToGrid w:val="0"/>
              <w:ind w:right="-1"/>
              <w:jc w:val="center"/>
            </w:pPr>
            <w:r>
              <w:t>га</w:t>
            </w:r>
          </w:p>
        </w:tc>
        <w:tc>
          <w:tcPr>
            <w:tcW w:w="1060" w:type="pct"/>
            <w:tcBorders>
              <w:top w:val="single" w:color="000000" w:sz="4" w:space="0"/>
              <w:left w:val="single" w:color="000000" w:sz="4" w:space="0"/>
              <w:bottom w:val="single" w:color="000000" w:sz="4" w:space="0"/>
              <w:right w:val="single" w:color="000000" w:sz="4" w:space="0"/>
            </w:tcBorders>
            <w:vAlign w:val="center"/>
          </w:tcPr>
          <w:p>
            <w:pPr>
              <w:widowControl w:val="0"/>
              <w:snapToGrid w:val="0"/>
              <w:ind w:right="-1"/>
              <w:jc w:val="center"/>
            </w:pPr>
            <w:r>
              <w:t>156,21</w:t>
            </w:r>
          </w:p>
        </w:tc>
      </w:tr>
      <w:tr>
        <w:tblPrEx>
          <w:tblCellMar>
            <w:top w:w="0" w:type="dxa"/>
            <w:left w:w="108" w:type="dxa"/>
            <w:bottom w:w="0" w:type="dxa"/>
            <w:right w:w="108" w:type="dxa"/>
          </w:tblCellMar>
        </w:tblPrEx>
        <w:trPr>
          <w:trHeight w:val="473" w:hRule="atLeast"/>
        </w:trPr>
        <w:tc>
          <w:tcPr>
            <w:tcW w:w="487" w:type="pct"/>
            <w:tcBorders>
              <w:top w:val="single" w:color="000000" w:sz="4" w:space="0"/>
              <w:left w:val="single" w:color="000000" w:sz="4" w:space="0"/>
              <w:bottom w:val="single" w:color="000000" w:sz="4" w:space="0"/>
            </w:tcBorders>
            <w:vAlign w:val="center"/>
          </w:tcPr>
          <w:p>
            <w:pPr>
              <w:widowControl w:val="0"/>
              <w:snapToGrid w:val="0"/>
              <w:ind w:right="-1"/>
            </w:pPr>
            <w:r>
              <w:t>1.2</w:t>
            </w:r>
          </w:p>
        </w:tc>
        <w:tc>
          <w:tcPr>
            <w:tcW w:w="2590" w:type="pct"/>
            <w:tcBorders>
              <w:top w:val="single" w:color="000000" w:sz="4" w:space="0"/>
              <w:left w:val="single" w:color="000000" w:sz="4" w:space="0"/>
              <w:bottom w:val="single" w:color="000000" w:sz="4" w:space="0"/>
            </w:tcBorders>
            <w:vAlign w:val="center"/>
          </w:tcPr>
          <w:p>
            <w:pPr>
              <w:widowControl w:val="0"/>
              <w:snapToGrid w:val="0"/>
              <w:ind w:right="-1"/>
            </w:pPr>
            <w:r>
              <w:t>Территория существующей многоквартирной жилой застройки  с приусадебными участками</w:t>
            </w:r>
          </w:p>
        </w:tc>
        <w:tc>
          <w:tcPr>
            <w:tcW w:w="863" w:type="pct"/>
            <w:tcBorders>
              <w:top w:val="single" w:color="000000" w:sz="4" w:space="0"/>
              <w:left w:val="single" w:color="000000" w:sz="4" w:space="0"/>
              <w:bottom w:val="single" w:color="000000" w:sz="4" w:space="0"/>
            </w:tcBorders>
            <w:vAlign w:val="center"/>
          </w:tcPr>
          <w:p>
            <w:pPr>
              <w:widowControl w:val="0"/>
              <w:snapToGrid w:val="0"/>
              <w:ind w:right="-1"/>
              <w:jc w:val="center"/>
            </w:pPr>
            <w:r>
              <w:t>га</w:t>
            </w:r>
          </w:p>
        </w:tc>
        <w:tc>
          <w:tcPr>
            <w:tcW w:w="1060" w:type="pct"/>
            <w:tcBorders>
              <w:top w:val="single" w:color="000000" w:sz="4" w:space="0"/>
              <w:left w:val="single" w:color="000000" w:sz="4" w:space="0"/>
              <w:bottom w:val="single" w:color="000000" w:sz="4" w:space="0"/>
              <w:right w:val="single" w:color="000000" w:sz="4" w:space="0"/>
            </w:tcBorders>
            <w:vAlign w:val="center"/>
          </w:tcPr>
          <w:p>
            <w:pPr>
              <w:widowControl w:val="0"/>
              <w:snapToGrid w:val="0"/>
              <w:ind w:right="-1"/>
              <w:jc w:val="center"/>
            </w:pPr>
            <w:r>
              <w:t>0,58</w:t>
            </w:r>
          </w:p>
        </w:tc>
      </w:tr>
      <w:tr>
        <w:tblPrEx>
          <w:tblCellMar>
            <w:top w:w="0" w:type="dxa"/>
            <w:left w:w="108" w:type="dxa"/>
            <w:bottom w:w="0" w:type="dxa"/>
            <w:right w:w="108" w:type="dxa"/>
          </w:tblCellMar>
        </w:tblPrEx>
        <w:tc>
          <w:tcPr>
            <w:tcW w:w="3077" w:type="pct"/>
            <w:gridSpan w:val="2"/>
            <w:tcBorders>
              <w:left w:val="single" w:color="000000" w:sz="4" w:space="0"/>
              <w:bottom w:val="single" w:color="000000" w:sz="4" w:space="0"/>
            </w:tcBorders>
          </w:tcPr>
          <w:p>
            <w:pPr>
              <w:widowControl w:val="0"/>
              <w:snapToGrid w:val="0"/>
              <w:ind w:right="-1"/>
              <w:rPr>
                <w:b/>
                <w:lang w:val="en-US"/>
              </w:rPr>
            </w:pPr>
            <w:r>
              <w:rPr>
                <w:b/>
              </w:rPr>
              <w:t xml:space="preserve">Итого по пункту </w:t>
            </w:r>
            <w:r>
              <w:rPr>
                <w:b/>
                <w:lang w:val="en-US"/>
              </w:rPr>
              <w:t>1</w:t>
            </w:r>
          </w:p>
        </w:tc>
        <w:tc>
          <w:tcPr>
            <w:tcW w:w="863" w:type="pct"/>
            <w:tcBorders>
              <w:left w:val="single" w:color="000000" w:sz="4" w:space="0"/>
              <w:bottom w:val="single" w:color="000000" w:sz="4" w:space="0"/>
            </w:tcBorders>
            <w:vAlign w:val="center"/>
          </w:tcPr>
          <w:p>
            <w:pPr>
              <w:widowControl w:val="0"/>
              <w:snapToGrid w:val="0"/>
              <w:ind w:right="-1"/>
              <w:jc w:val="center"/>
              <w:rPr>
                <w:b/>
              </w:rPr>
            </w:pPr>
            <w:r>
              <w:rPr>
                <w:b/>
              </w:rP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rPr>
                <w:b/>
              </w:rPr>
            </w:pPr>
            <w:r>
              <w:rPr>
                <w:b/>
              </w:rPr>
              <w:t>156,76</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2.1</w:t>
            </w:r>
          </w:p>
        </w:tc>
        <w:tc>
          <w:tcPr>
            <w:tcW w:w="2590" w:type="pct"/>
            <w:tcBorders>
              <w:left w:val="single" w:color="000000" w:sz="4" w:space="0"/>
              <w:bottom w:val="single" w:color="000000" w:sz="4" w:space="0"/>
            </w:tcBorders>
          </w:tcPr>
          <w:p>
            <w:pPr>
              <w:widowControl w:val="0"/>
              <w:snapToGrid w:val="0"/>
              <w:ind w:right="-1"/>
            </w:pPr>
            <w:r>
              <w:t>Территория организаций и учреждений управления, учреждений культуры и искусства, связи, объектов торговли, общественного питания</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3,43</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2.2</w:t>
            </w:r>
          </w:p>
        </w:tc>
        <w:tc>
          <w:tcPr>
            <w:tcW w:w="2590" w:type="pct"/>
            <w:tcBorders>
              <w:left w:val="single" w:color="000000" w:sz="4" w:space="0"/>
              <w:bottom w:val="single" w:color="000000" w:sz="4" w:space="0"/>
            </w:tcBorders>
          </w:tcPr>
          <w:p>
            <w:pPr>
              <w:widowControl w:val="0"/>
              <w:snapToGrid w:val="0"/>
              <w:ind w:right="-1"/>
            </w:pPr>
            <w:r>
              <w:t xml:space="preserve">Спортивные сооружения </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0,59</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2.3</w:t>
            </w:r>
          </w:p>
        </w:tc>
        <w:tc>
          <w:tcPr>
            <w:tcW w:w="2590" w:type="pct"/>
            <w:tcBorders>
              <w:left w:val="single" w:color="000000" w:sz="4" w:space="0"/>
              <w:bottom w:val="single" w:color="000000" w:sz="4" w:space="0"/>
            </w:tcBorders>
          </w:tcPr>
          <w:p>
            <w:pPr>
              <w:widowControl w:val="0"/>
              <w:snapToGrid w:val="0"/>
              <w:ind w:right="-1"/>
            </w:pPr>
            <w:r>
              <w:t xml:space="preserve">Территория учреждений здравоохранения </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0,62</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2.4</w:t>
            </w:r>
          </w:p>
        </w:tc>
        <w:tc>
          <w:tcPr>
            <w:tcW w:w="2590" w:type="pct"/>
            <w:tcBorders>
              <w:left w:val="single" w:color="000000" w:sz="4" w:space="0"/>
              <w:bottom w:val="single" w:color="000000" w:sz="4" w:space="0"/>
            </w:tcBorders>
          </w:tcPr>
          <w:p>
            <w:pPr>
              <w:widowControl w:val="0"/>
              <w:snapToGrid w:val="0"/>
              <w:ind w:right="-1"/>
            </w:pPr>
            <w:r>
              <w:t>Территория учреждений образования:</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2,59</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p>
        </w:tc>
        <w:tc>
          <w:tcPr>
            <w:tcW w:w="2590" w:type="pct"/>
            <w:tcBorders>
              <w:left w:val="single" w:color="000000" w:sz="4" w:space="0"/>
              <w:bottom w:val="single" w:color="000000" w:sz="4" w:space="0"/>
            </w:tcBorders>
          </w:tcPr>
          <w:p>
            <w:pPr>
              <w:widowControl w:val="0"/>
              <w:snapToGrid w:val="0"/>
              <w:ind w:right="-1"/>
            </w:pPr>
            <w:r>
              <w:t>-школа</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1,84</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p>
        </w:tc>
        <w:tc>
          <w:tcPr>
            <w:tcW w:w="2590" w:type="pct"/>
            <w:tcBorders>
              <w:left w:val="single" w:color="000000" w:sz="4" w:space="0"/>
              <w:bottom w:val="single" w:color="000000" w:sz="4" w:space="0"/>
            </w:tcBorders>
          </w:tcPr>
          <w:p>
            <w:pPr>
              <w:widowControl w:val="0"/>
              <w:snapToGrid w:val="0"/>
              <w:ind w:right="-1"/>
            </w:pPr>
            <w:r>
              <w:t>-детский сад</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0,75</w:t>
            </w:r>
          </w:p>
        </w:tc>
      </w:tr>
      <w:tr>
        <w:tblPrEx>
          <w:tblCellMar>
            <w:top w:w="0" w:type="dxa"/>
            <w:left w:w="108" w:type="dxa"/>
            <w:bottom w:w="0" w:type="dxa"/>
            <w:right w:w="108" w:type="dxa"/>
          </w:tblCellMar>
        </w:tblPrEx>
        <w:tc>
          <w:tcPr>
            <w:tcW w:w="3077" w:type="pct"/>
            <w:gridSpan w:val="2"/>
            <w:tcBorders>
              <w:left w:val="single" w:color="000000" w:sz="4" w:space="0"/>
              <w:bottom w:val="single" w:color="000000" w:sz="4" w:space="0"/>
            </w:tcBorders>
          </w:tcPr>
          <w:p>
            <w:pPr>
              <w:widowControl w:val="0"/>
              <w:snapToGrid w:val="0"/>
              <w:ind w:right="-1"/>
              <w:rPr>
                <w:b/>
                <w:lang w:val="en-US"/>
              </w:rPr>
            </w:pPr>
            <w:r>
              <w:rPr>
                <w:b/>
              </w:rPr>
              <w:t xml:space="preserve">Итого по пункту </w:t>
            </w:r>
            <w:r>
              <w:rPr>
                <w:b/>
                <w:lang w:val="en-US"/>
              </w:rPr>
              <w:t>2</w:t>
            </w:r>
          </w:p>
        </w:tc>
        <w:tc>
          <w:tcPr>
            <w:tcW w:w="863" w:type="pct"/>
            <w:tcBorders>
              <w:left w:val="single" w:color="000000" w:sz="4" w:space="0"/>
              <w:bottom w:val="single" w:color="000000" w:sz="4" w:space="0"/>
            </w:tcBorders>
            <w:vAlign w:val="center"/>
          </w:tcPr>
          <w:p>
            <w:pPr>
              <w:widowControl w:val="0"/>
              <w:snapToGrid w:val="0"/>
              <w:ind w:right="-1"/>
              <w:jc w:val="center"/>
              <w:rPr>
                <w:b/>
              </w:rPr>
            </w:pPr>
            <w:r>
              <w:rPr>
                <w:b/>
              </w:rP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rPr>
                <w:b/>
              </w:rPr>
            </w:pPr>
            <w:r>
              <w:rPr>
                <w:b/>
              </w:rPr>
              <w:t>7,23</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3.1</w:t>
            </w:r>
          </w:p>
        </w:tc>
        <w:tc>
          <w:tcPr>
            <w:tcW w:w="2590" w:type="pct"/>
            <w:tcBorders>
              <w:left w:val="single" w:color="000000" w:sz="4" w:space="0"/>
              <w:bottom w:val="single" w:color="000000" w:sz="4" w:space="0"/>
            </w:tcBorders>
          </w:tcPr>
          <w:p>
            <w:pPr>
              <w:widowControl w:val="0"/>
              <w:snapToGrid w:val="0"/>
              <w:ind w:right="-1"/>
            </w:pPr>
            <w:r>
              <w:t>Существующие производственные территории</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1,52</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3.2</w:t>
            </w:r>
          </w:p>
        </w:tc>
        <w:tc>
          <w:tcPr>
            <w:tcW w:w="2590" w:type="pct"/>
            <w:tcBorders>
              <w:left w:val="single" w:color="000000" w:sz="4" w:space="0"/>
              <w:bottom w:val="single" w:color="000000" w:sz="4" w:space="0"/>
            </w:tcBorders>
          </w:tcPr>
          <w:p>
            <w:pPr>
              <w:widowControl w:val="0"/>
              <w:snapToGrid w:val="0"/>
              <w:ind w:right="-1"/>
            </w:pPr>
            <w:r>
              <w:t>Коммунально-складская зона, головные сооружения инженерной инфраструктуры</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0,54</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3.3</w:t>
            </w:r>
          </w:p>
        </w:tc>
        <w:tc>
          <w:tcPr>
            <w:tcW w:w="2590" w:type="pct"/>
            <w:tcBorders>
              <w:left w:val="single" w:color="000000" w:sz="4" w:space="0"/>
              <w:bottom w:val="single" w:color="000000" w:sz="4" w:space="0"/>
            </w:tcBorders>
          </w:tcPr>
          <w:p>
            <w:pPr>
              <w:widowControl w:val="0"/>
              <w:snapToGrid w:val="0"/>
              <w:ind w:right="-1"/>
            </w:pPr>
            <w:r>
              <w:t>Территория улично-дорожной сети:</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46,88</w:t>
            </w:r>
          </w:p>
        </w:tc>
      </w:tr>
      <w:tr>
        <w:tblPrEx>
          <w:tblCellMar>
            <w:top w:w="0" w:type="dxa"/>
            <w:left w:w="108" w:type="dxa"/>
            <w:bottom w:w="0" w:type="dxa"/>
            <w:right w:w="108" w:type="dxa"/>
          </w:tblCellMar>
        </w:tblPrEx>
        <w:tc>
          <w:tcPr>
            <w:tcW w:w="3077" w:type="pct"/>
            <w:gridSpan w:val="2"/>
            <w:tcBorders>
              <w:left w:val="single" w:color="000000" w:sz="4" w:space="0"/>
              <w:bottom w:val="single" w:color="000000" w:sz="4" w:space="0"/>
            </w:tcBorders>
          </w:tcPr>
          <w:p>
            <w:pPr>
              <w:widowControl w:val="0"/>
              <w:snapToGrid w:val="0"/>
              <w:ind w:right="-1"/>
              <w:rPr>
                <w:b/>
                <w:lang w:val="en-US"/>
              </w:rPr>
            </w:pPr>
            <w:r>
              <w:rPr>
                <w:b/>
              </w:rPr>
              <w:t xml:space="preserve">Итого по пункту </w:t>
            </w:r>
            <w:r>
              <w:rPr>
                <w:b/>
                <w:lang w:val="en-US"/>
              </w:rPr>
              <w:t>3</w:t>
            </w:r>
          </w:p>
        </w:tc>
        <w:tc>
          <w:tcPr>
            <w:tcW w:w="863" w:type="pct"/>
            <w:tcBorders>
              <w:left w:val="single" w:color="000000" w:sz="4" w:space="0"/>
              <w:bottom w:val="single" w:color="000000" w:sz="4" w:space="0"/>
            </w:tcBorders>
            <w:vAlign w:val="center"/>
          </w:tcPr>
          <w:p>
            <w:pPr>
              <w:widowControl w:val="0"/>
              <w:snapToGrid w:val="0"/>
              <w:ind w:right="-1"/>
              <w:jc w:val="center"/>
              <w:rPr>
                <w:b/>
              </w:rPr>
            </w:pPr>
            <w:r>
              <w:rPr>
                <w:b/>
              </w:rP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rPr>
                <w:b/>
              </w:rPr>
            </w:pPr>
            <w:r>
              <w:rPr>
                <w:b/>
              </w:rPr>
              <w:t>48,94</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4.1</w:t>
            </w:r>
          </w:p>
        </w:tc>
        <w:tc>
          <w:tcPr>
            <w:tcW w:w="2590" w:type="pct"/>
            <w:tcBorders>
              <w:left w:val="single" w:color="000000" w:sz="4" w:space="0"/>
              <w:bottom w:val="single" w:color="000000" w:sz="4" w:space="0"/>
            </w:tcBorders>
          </w:tcPr>
          <w:p>
            <w:pPr>
              <w:widowControl w:val="0"/>
              <w:snapToGrid w:val="0"/>
              <w:ind w:right="-1"/>
            </w:pPr>
            <w:r>
              <w:t xml:space="preserve">Земли сельскохозяйственного использования </w:t>
            </w:r>
          </w:p>
        </w:tc>
        <w:tc>
          <w:tcPr>
            <w:tcW w:w="863" w:type="pct"/>
            <w:tcBorders>
              <w:left w:val="single" w:color="000000" w:sz="4" w:space="0"/>
              <w:bottom w:val="single" w:color="000000" w:sz="4" w:space="0"/>
            </w:tcBorders>
            <w:vAlign w:val="center"/>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center"/>
          </w:tcPr>
          <w:p>
            <w:pPr>
              <w:widowControl w:val="0"/>
              <w:snapToGrid w:val="0"/>
              <w:ind w:right="-1"/>
              <w:jc w:val="center"/>
            </w:pPr>
            <w:r>
              <w:t>94,19</w:t>
            </w:r>
          </w:p>
        </w:tc>
      </w:tr>
      <w:tr>
        <w:tblPrEx>
          <w:tblCellMar>
            <w:top w:w="0" w:type="dxa"/>
            <w:left w:w="108" w:type="dxa"/>
            <w:bottom w:w="0" w:type="dxa"/>
            <w:right w:w="108" w:type="dxa"/>
          </w:tblCellMar>
        </w:tblPrEx>
        <w:tc>
          <w:tcPr>
            <w:tcW w:w="3077" w:type="pct"/>
            <w:gridSpan w:val="2"/>
            <w:tcBorders>
              <w:left w:val="single" w:color="000000" w:sz="4" w:space="0"/>
              <w:bottom w:val="single" w:color="auto" w:sz="4" w:space="0"/>
            </w:tcBorders>
          </w:tcPr>
          <w:p>
            <w:pPr>
              <w:widowControl w:val="0"/>
              <w:snapToGrid w:val="0"/>
              <w:ind w:right="-1"/>
              <w:rPr>
                <w:b/>
              </w:rPr>
            </w:pPr>
            <w:r>
              <w:rPr>
                <w:b/>
              </w:rPr>
              <w:t xml:space="preserve">Итого по пункту </w:t>
            </w:r>
            <w:r>
              <w:rPr>
                <w:b/>
                <w:lang w:val="en-US"/>
              </w:rPr>
              <w:t>4</w:t>
            </w:r>
          </w:p>
        </w:tc>
        <w:tc>
          <w:tcPr>
            <w:tcW w:w="863" w:type="pct"/>
            <w:tcBorders>
              <w:left w:val="single" w:color="000000" w:sz="4" w:space="0"/>
              <w:bottom w:val="single" w:color="auto" w:sz="4" w:space="0"/>
            </w:tcBorders>
            <w:vAlign w:val="bottom"/>
          </w:tcPr>
          <w:p>
            <w:pPr>
              <w:widowControl w:val="0"/>
              <w:snapToGrid w:val="0"/>
              <w:ind w:right="-1"/>
              <w:jc w:val="center"/>
              <w:rPr>
                <w:b/>
              </w:rPr>
            </w:pPr>
            <w:r>
              <w:rPr>
                <w:b/>
              </w:rPr>
              <w:t>га</w:t>
            </w:r>
          </w:p>
        </w:tc>
        <w:tc>
          <w:tcPr>
            <w:tcW w:w="1060" w:type="pct"/>
            <w:tcBorders>
              <w:left w:val="single" w:color="000000" w:sz="4" w:space="0"/>
              <w:bottom w:val="single" w:color="auto" w:sz="4" w:space="0"/>
              <w:right w:val="single" w:color="000000" w:sz="4" w:space="0"/>
            </w:tcBorders>
            <w:vAlign w:val="bottom"/>
          </w:tcPr>
          <w:p>
            <w:pPr>
              <w:widowControl w:val="0"/>
              <w:snapToGrid w:val="0"/>
              <w:ind w:right="-1"/>
              <w:jc w:val="center"/>
              <w:rPr>
                <w:b/>
              </w:rPr>
            </w:pPr>
            <w:r>
              <w:rPr>
                <w:b/>
              </w:rPr>
              <w:t>94,19</w:t>
            </w:r>
          </w:p>
        </w:tc>
      </w:tr>
      <w:tr>
        <w:tblPrEx>
          <w:tblCellMar>
            <w:top w:w="0" w:type="dxa"/>
            <w:left w:w="108" w:type="dxa"/>
            <w:bottom w:w="0" w:type="dxa"/>
            <w:right w:w="108" w:type="dxa"/>
          </w:tblCellMar>
        </w:tblPrEx>
        <w:tc>
          <w:tcPr>
            <w:tcW w:w="3077" w:type="pct"/>
            <w:gridSpan w:val="2"/>
            <w:tcBorders>
              <w:left w:val="single" w:color="000000" w:sz="4" w:space="0"/>
              <w:bottom w:val="single" w:color="auto" w:sz="4" w:space="0"/>
            </w:tcBorders>
          </w:tcPr>
          <w:p>
            <w:pPr>
              <w:widowControl w:val="0"/>
              <w:snapToGrid w:val="0"/>
              <w:ind w:right="-1"/>
              <w:rPr>
                <w:b/>
              </w:rPr>
            </w:pPr>
          </w:p>
        </w:tc>
        <w:tc>
          <w:tcPr>
            <w:tcW w:w="863" w:type="pct"/>
            <w:tcBorders>
              <w:left w:val="single" w:color="000000" w:sz="4" w:space="0"/>
              <w:bottom w:val="single" w:color="auto" w:sz="4" w:space="0"/>
            </w:tcBorders>
            <w:vAlign w:val="bottom"/>
          </w:tcPr>
          <w:p>
            <w:pPr>
              <w:widowControl w:val="0"/>
              <w:snapToGrid w:val="0"/>
              <w:ind w:right="-1"/>
              <w:jc w:val="center"/>
              <w:rPr>
                <w:b/>
              </w:rPr>
            </w:pPr>
          </w:p>
        </w:tc>
        <w:tc>
          <w:tcPr>
            <w:tcW w:w="1060" w:type="pct"/>
            <w:tcBorders>
              <w:left w:val="single" w:color="000000" w:sz="4" w:space="0"/>
              <w:bottom w:val="single" w:color="auto" w:sz="4" w:space="0"/>
              <w:right w:val="single" w:color="000000" w:sz="4" w:space="0"/>
            </w:tcBorders>
            <w:vAlign w:val="bottom"/>
          </w:tcPr>
          <w:p>
            <w:pPr>
              <w:widowControl w:val="0"/>
              <w:snapToGrid w:val="0"/>
              <w:ind w:right="-1"/>
              <w:jc w:val="center"/>
              <w:rPr>
                <w:b/>
              </w:rPr>
            </w:pP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5.1</w:t>
            </w:r>
          </w:p>
        </w:tc>
        <w:tc>
          <w:tcPr>
            <w:tcW w:w="2590" w:type="pct"/>
            <w:tcBorders>
              <w:left w:val="single" w:color="000000" w:sz="4" w:space="0"/>
              <w:bottom w:val="single" w:color="000000" w:sz="4" w:space="0"/>
            </w:tcBorders>
          </w:tcPr>
          <w:p>
            <w:pPr>
              <w:widowControl w:val="0"/>
              <w:snapToGrid w:val="0"/>
              <w:ind w:right="-1"/>
            </w:pPr>
            <w:r>
              <w:t>Зеленые насаждения общего пользования: парк, сквер</w:t>
            </w:r>
          </w:p>
        </w:tc>
        <w:tc>
          <w:tcPr>
            <w:tcW w:w="863" w:type="pct"/>
            <w:tcBorders>
              <w:left w:val="single" w:color="000000" w:sz="4" w:space="0"/>
              <w:bottom w:val="single" w:color="000000" w:sz="4" w:space="0"/>
            </w:tcBorders>
            <w:vAlign w:val="bottom"/>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bottom"/>
          </w:tcPr>
          <w:p>
            <w:pPr>
              <w:widowControl w:val="0"/>
              <w:snapToGrid w:val="0"/>
              <w:ind w:right="-1"/>
              <w:jc w:val="center"/>
            </w:pPr>
            <w:r>
              <w:t>1,77</w:t>
            </w:r>
          </w:p>
        </w:tc>
      </w:tr>
      <w:tr>
        <w:tblPrEx>
          <w:tblCellMar>
            <w:top w:w="0" w:type="dxa"/>
            <w:left w:w="108" w:type="dxa"/>
            <w:bottom w:w="0" w:type="dxa"/>
            <w:right w:w="108" w:type="dxa"/>
          </w:tblCellMar>
        </w:tblPrEx>
        <w:tc>
          <w:tcPr>
            <w:tcW w:w="3077" w:type="pct"/>
            <w:gridSpan w:val="2"/>
            <w:tcBorders>
              <w:left w:val="single" w:color="000000" w:sz="4" w:space="0"/>
              <w:bottom w:val="single" w:color="000000" w:sz="4" w:space="0"/>
            </w:tcBorders>
          </w:tcPr>
          <w:p>
            <w:pPr>
              <w:widowControl w:val="0"/>
              <w:snapToGrid w:val="0"/>
              <w:ind w:right="-1"/>
              <w:rPr>
                <w:b/>
                <w:lang w:val="en-US"/>
              </w:rPr>
            </w:pPr>
            <w:r>
              <w:rPr>
                <w:b/>
              </w:rPr>
              <w:t xml:space="preserve">Итого по пункту </w:t>
            </w:r>
            <w:r>
              <w:rPr>
                <w:b/>
                <w:lang w:val="en-US"/>
              </w:rPr>
              <w:t>5</w:t>
            </w:r>
          </w:p>
        </w:tc>
        <w:tc>
          <w:tcPr>
            <w:tcW w:w="863" w:type="pct"/>
            <w:tcBorders>
              <w:left w:val="single" w:color="000000" w:sz="4" w:space="0"/>
              <w:bottom w:val="single" w:color="000000" w:sz="4" w:space="0"/>
            </w:tcBorders>
            <w:vAlign w:val="bottom"/>
          </w:tcPr>
          <w:p>
            <w:pPr>
              <w:widowControl w:val="0"/>
              <w:snapToGrid w:val="0"/>
              <w:ind w:right="-1"/>
              <w:jc w:val="center"/>
              <w:rPr>
                <w:b/>
              </w:rPr>
            </w:pPr>
            <w:r>
              <w:rPr>
                <w:b/>
              </w:rPr>
              <w:t>га</w:t>
            </w:r>
          </w:p>
        </w:tc>
        <w:tc>
          <w:tcPr>
            <w:tcW w:w="1060" w:type="pct"/>
            <w:tcBorders>
              <w:left w:val="single" w:color="000000" w:sz="4" w:space="0"/>
              <w:bottom w:val="single" w:color="000000" w:sz="4" w:space="0"/>
              <w:right w:val="single" w:color="000000" w:sz="4" w:space="0"/>
            </w:tcBorders>
            <w:vAlign w:val="bottom"/>
          </w:tcPr>
          <w:p>
            <w:pPr>
              <w:widowControl w:val="0"/>
              <w:snapToGrid w:val="0"/>
              <w:ind w:right="-1"/>
              <w:jc w:val="center"/>
              <w:rPr>
                <w:b/>
              </w:rPr>
            </w:pPr>
            <w:r>
              <w:rPr>
                <w:b/>
              </w:rPr>
              <w:t>1,77</w:t>
            </w:r>
          </w:p>
        </w:tc>
      </w:tr>
      <w:tr>
        <w:tblPrEx>
          <w:tblCellMar>
            <w:top w:w="0" w:type="dxa"/>
            <w:left w:w="108" w:type="dxa"/>
            <w:bottom w:w="0" w:type="dxa"/>
            <w:right w:w="108" w:type="dxa"/>
          </w:tblCellMar>
        </w:tblPrEx>
        <w:tc>
          <w:tcPr>
            <w:tcW w:w="487" w:type="pct"/>
            <w:tcBorders>
              <w:left w:val="single" w:color="000000" w:sz="4" w:space="0"/>
              <w:bottom w:val="single" w:color="000000" w:sz="4" w:space="0"/>
            </w:tcBorders>
          </w:tcPr>
          <w:p>
            <w:pPr>
              <w:widowControl w:val="0"/>
              <w:snapToGrid w:val="0"/>
              <w:ind w:right="-1"/>
              <w:jc w:val="center"/>
            </w:pPr>
            <w:r>
              <w:t>6.1</w:t>
            </w:r>
          </w:p>
        </w:tc>
        <w:tc>
          <w:tcPr>
            <w:tcW w:w="2590" w:type="pct"/>
            <w:tcBorders>
              <w:left w:val="single" w:color="000000" w:sz="4" w:space="0"/>
              <w:bottom w:val="single" w:color="000000" w:sz="4" w:space="0"/>
            </w:tcBorders>
          </w:tcPr>
          <w:p>
            <w:pPr>
              <w:widowControl w:val="0"/>
              <w:snapToGrid w:val="0"/>
              <w:ind w:right="-1"/>
            </w:pPr>
            <w:r>
              <w:t>Кладбище традиционного захоронения существующее</w:t>
            </w:r>
          </w:p>
        </w:tc>
        <w:tc>
          <w:tcPr>
            <w:tcW w:w="863" w:type="pct"/>
            <w:tcBorders>
              <w:left w:val="single" w:color="000000" w:sz="4" w:space="0"/>
              <w:bottom w:val="single" w:color="000000" w:sz="4" w:space="0"/>
            </w:tcBorders>
            <w:vAlign w:val="bottom"/>
          </w:tcPr>
          <w:p>
            <w:pPr>
              <w:widowControl w:val="0"/>
              <w:snapToGrid w:val="0"/>
              <w:ind w:right="-1"/>
              <w:jc w:val="center"/>
            </w:pPr>
            <w:r>
              <w:t>га</w:t>
            </w:r>
          </w:p>
        </w:tc>
        <w:tc>
          <w:tcPr>
            <w:tcW w:w="1060" w:type="pct"/>
            <w:tcBorders>
              <w:left w:val="single" w:color="000000" w:sz="4" w:space="0"/>
              <w:bottom w:val="single" w:color="000000" w:sz="4" w:space="0"/>
              <w:right w:val="single" w:color="000000" w:sz="4" w:space="0"/>
            </w:tcBorders>
            <w:vAlign w:val="bottom"/>
          </w:tcPr>
          <w:p>
            <w:pPr>
              <w:widowControl w:val="0"/>
              <w:snapToGrid w:val="0"/>
              <w:ind w:right="-1"/>
              <w:jc w:val="center"/>
            </w:pPr>
            <w:r>
              <w:t>2,50</w:t>
            </w:r>
          </w:p>
        </w:tc>
      </w:tr>
      <w:tr>
        <w:tblPrEx>
          <w:tblCellMar>
            <w:top w:w="0" w:type="dxa"/>
            <w:left w:w="108" w:type="dxa"/>
            <w:bottom w:w="0" w:type="dxa"/>
            <w:right w:w="108" w:type="dxa"/>
          </w:tblCellMar>
        </w:tblPrEx>
        <w:tc>
          <w:tcPr>
            <w:tcW w:w="3077" w:type="pct"/>
            <w:gridSpan w:val="2"/>
            <w:tcBorders>
              <w:left w:val="single" w:color="000000" w:sz="4" w:space="0"/>
              <w:bottom w:val="single" w:color="000000" w:sz="4" w:space="0"/>
            </w:tcBorders>
          </w:tcPr>
          <w:p>
            <w:pPr>
              <w:widowControl w:val="0"/>
              <w:snapToGrid w:val="0"/>
              <w:ind w:right="-1"/>
              <w:rPr>
                <w:b/>
              </w:rPr>
            </w:pPr>
            <w:r>
              <w:rPr>
                <w:b/>
              </w:rPr>
              <w:t>Итого по пункту 6</w:t>
            </w:r>
          </w:p>
        </w:tc>
        <w:tc>
          <w:tcPr>
            <w:tcW w:w="863" w:type="pct"/>
            <w:tcBorders>
              <w:left w:val="single" w:color="000000" w:sz="4" w:space="0"/>
              <w:bottom w:val="single" w:color="000000" w:sz="4" w:space="0"/>
            </w:tcBorders>
            <w:vAlign w:val="bottom"/>
          </w:tcPr>
          <w:p>
            <w:pPr>
              <w:widowControl w:val="0"/>
              <w:snapToGrid w:val="0"/>
              <w:ind w:right="-1"/>
              <w:jc w:val="center"/>
              <w:rPr>
                <w:b/>
              </w:rPr>
            </w:pPr>
            <w:r>
              <w:rPr>
                <w:b/>
              </w:rPr>
              <w:t>га</w:t>
            </w:r>
          </w:p>
        </w:tc>
        <w:tc>
          <w:tcPr>
            <w:tcW w:w="1060" w:type="pct"/>
            <w:tcBorders>
              <w:left w:val="single" w:color="000000" w:sz="4" w:space="0"/>
              <w:bottom w:val="single" w:color="000000" w:sz="4" w:space="0"/>
              <w:right w:val="single" w:color="000000" w:sz="4" w:space="0"/>
            </w:tcBorders>
            <w:vAlign w:val="bottom"/>
          </w:tcPr>
          <w:p>
            <w:pPr>
              <w:widowControl w:val="0"/>
              <w:snapToGrid w:val="0"/>
              <w:ind w:right="-1"/>
              <w:jc w:val="center"/>
              <w:rPr>
                <w:b/>
              </w:rPr>
            </w:pPr>
            <w:r>
              <w:rPr>
                <w:b/>
              </w:rPr>
              <w:t>2,50</w:t>
            </w:r>
          </w:p>
        </w:tc>
      </w:tr>
    </w:tbl>
    <w:p>
      <w:pPr>
        <w:pStyle w:val="282"/>
        <w:rPr>
          <w:sz w:val="24"/>
        </w:rPr>
      </w:pPr>
    </w:p>
    <w:p>
      <w:pPr>
        <w:pStyle w:val="3"/>
        <w:keepNext w:val="0"/>
        <w:numPr>
          <w:ilvl w:val="1"/>
          <w:numId w:val="26"/>
        </w:numPr>
        <w:suppressAutoHyphens/>
        <w:spacing w:before="480" w:after="360" w:line="360" w:lineRule="auto"/>
        <w:ind w:left="0" w:firstLine="851"/>
        <w:jc w:val="center"/>
        <w:rPr>
          <w:rFonts w:ascii="Times New Roman" w:hAnsi="Times New Roman"/>
          <w:i w:val="0"/>
          <w:sz w:val="30"/>
          <w:szCs w:val="30"/>
        </w:rPr>
      </w:pPr>
      <w:bookmarkStart w:id="62" w:name="_Toc315701102"/>
      <w:bookmarkEnd w:id="62"/>
      <w:bookmarkStart w:id="63" w:name="_Toc315701103"/>
      <w:bookmarkEnd w:id="63"/>
      <w:bookmarkStart w:id="64" w:name="_Toc315701104"/>
      <w:bookmarkEnd w:id="64"/>
      <w:bookmarkStart w:id="65" w:name="_Toc315701105"/>
      <w:bookmarkEnd w:id="65"/>
      <w:bookmarkStart w:id="66" w:name="_Toc57203195"/>
      <w:bookmarkStart w:id="67" w:name="_Toc268263636"/>
      <w:bookmarkStart w:id="68" w:name="_Toc342472316"/>
      <w:r>
        <w:rPr>
          <w:rFonts w:ascii="Times New Roman" w:hAnsi="Times New Roman"/>
          <w:i w:val="0"/>
          <w:sz w:val="30"/>
          <w:szCs w:val="30"/>
        </w:rPr>
        <w:t>Экономическая база муниципального образования</w:t>
      </w:r>
      <w:bookmarkEnd w:id="66"/>
      <w:bookmarkEnd w:id="67"/>
      <w:bookmarkEnd w:id="68"/>
      <w:bookmarkStart w:id="69" w:name="_Toc342472317"/>
      <w:bookmarkStart w:id="70" w:name="_Toc268263637"/>
    </w:p>
    <w:p>
      <w:pPr>
        <w:pStyle w:val="282"/>
        <w:rPr>
          <w:sz w:val="24"/>
        </w:rPr>
      </w:pPr>
      <w:r>
        <w:rPr>
          <w:sz w:val="24"/>
        </w:rPr>
        <w:t>В поселении 813 хозяйств, в том числе 675 имеют статус личных подсобных и занимаются выращиванием и производством сельскохозяйственной продукции и животноводства.</w:t>
      </w:r>
    </w:p>
    <w:p>
      <w:pPr>
        <w:pStyle w:val="282"/>
        <w:rPr>
          <w:sz w:val="24"/>
        </w:rPr>
      </w:pPr>
      <w:r>
        <w:rPr>
          <w:sz w:val="24"/>
        </w:rPr>
        <w:t>В подворьях жителей содержится: 108 голов КРС, что на 32 головы меньше, чем в прошлом году, овец и коз – 136, кроликов -330, а также 9 300 голов различной птицы.</w:t>
      </w:r>
    </w:p>
    <w:p>
      <w:pPr>
        <w:pStyle w:val="282"/>
        <w:rPr>
          <w:sz w:val="24"/>
        </w:rPr>
      </w:pPr>
      <w:r>
        <w:rPr>
          <w:sz w:val="24"/>
        </w:rPr>
        <w:t>За 2019 год населением, ведущим личные подсобные хозяйства, сдано почти 192 тонны молока и более 44 тонн мяса.</w:t>
      </w:r>
    </w:p>
    <w:p>
      <w:pPr>
        <w:pStyle w:val="282"/>
        <w:rPr>
          <w:sz w:val="24"/>
        </w:rPr>
      </w:pPr>
      <w:r>
        <w:rPr>
          <w:sz w:val="24"/>
        </w:rPr>
        <w:t>Получено субсидий:</w:t>
      </w:r>
    </w:p>
    <w:p>
      <w:pPr>
        <w:pStyle w:val="147"/>
        <w:numPr>
          <w:ilvl w:val="0"/>
          <w:numId w:val="25"/>
        </w:numPr>
        <w:suppressAutoHyphens/>
        <w:spacing w:after="0" w:line="360" w:lineRule="auto"/>
        <w:jc w:val="both"/>
      </w:pPr>
      <w:r>
        <w:t>за сданное молоко более 208 тыс. рублей,</w:t>
      </w:r>
    </w:p>
    <w:p>
      <w:pPr>
        <w:pStyle w:val="147"/>
        <w:numPr>
          <w:ilvl w:val="0"/>
          <w:numId w:val="25"/>
        </w:numPr>
        <w:suppressAutoHyphens/>
        <w:spacing w:after="0" w:line="360" w:lineRule="auto"/>
        <w:jc w:val="both"/>
      </w:pPr>
      <w:r>
        <w:t>за сданное мясо – более 156 тыс. рублей;</w:t>
      </w:r>
    </w:p>
    <w:p>
      <w:pPr>
        <w:pStyle w:val="147"/>
        <w:numPr>
          <w:ilvl w:val="0"/>
          <w:numId w:val="25"/>
        </w:numPr>
        <w:suppressAutoHyphens/>
        <w:spacing w:after="0" w:line="360" w:lineRule="auto"/>
        <w:jc w:val="both"/>
      </w:pPr>
      <w:r>
        <w:t>за приобретение племенных и товарных сельхозживотных – более 572 тыс. рублей;</w:t>
      </w:r>
    </w:p>
    <w:p>
      <w:pPr>
        <w:pStyle w:val="147"/>
        <w:numPr>
          <w:ilvl w:val="0"/>
          <w:numId w:val="25"/>
        </w:numPr>
        <w:suppressAutoHyphens/>
        <w:spacing w:after="0" w:line="360" w:lineRule="auto"/>
        <w:jc w:val="both"/>
      </w:pPr>
      <w:r>
        <w:t>на строительство теплиц, площадью не менее 100 кв.м. – 47 тыс. руб.</w:t>
      </w:r>
    </w:p>
    <w:p>
      <w:pPr>
        <w:rPr>
          <w:lang w:eastAsia="ru-RU"/>
        </w:rPr>
      </w:pPr>
      <w:r>
        <w:rPr>
          <w:lang w:eastAsia="ru-RU"/>
        </w:rPr>
        <w:t>Несмотря на это, за 2019 год субсидирование за произведенную сельхозпродукцию получили не все граждане сельского поселения, ведущие личные подсобные хозяйства.</w:t>
      </w:r>
    </w:p>
    <w:p>
      <w:pPr>
        <w:pStyle w:val="282"/>
        <w:rPr>
          <w:sz w:val="24"/>
        </w:rPr>
      </w:pPr>
      <w:r>
        <w:rPr>
          <w:sz w:val="24"/>
        </w:rPr>
        <w:t>Общий объем доходов бюджета поселения в 2019 году составил 12 млн.</w:t>
      </w:r>
    </w:p>
    <w:p>
      <w:pPr>
        <w:pStyle w:val="282"/>
        <w:rPr>
          <w:sz w:val="24"/>
        </w:rPr>
      </w:pPr>
      <w:r>
        <w:rPr>
          <w:sz w:val="24"/>
        </w:rPr>
        <w:t>360 тыс. рублей, что составляет 101,5 % к уточненному бюджетному назначению на 2019 год.</w:t>
      </w:r>
    </w:p>
    <w:p>
      <w:pPr>
        <w:pStyle w:val="282"/>
        <w:rPr>
          <w:sz w:val="24"/>
        </w:rPr>
      </w:pPr>
      <w:r>
        <w:rPr>
          <w:sz w:val="24"/>
        </w:rPr>
        <w:t>Бюджет поселения по налоговым и неналоговым доходам за 2019 год исполнен в сумме 7 млн. 483 тыс. руб. или 105% к утвержденному бюджетному назначению.</w:t>
      </w:r>
    </w:p>
    <w:p>
      <w:pPr>
        <w:pStyle w:val="282"/>
        <w:rPr>
          <w:sz w:val="24"/>
        </w:rPr>
      </w:pPr>
      <w:r>
        <w:rPr>
          <w:sz w:val="24"/>
        </w:rPr>
        <w:t>В части безвозмездных поступлений (краевые и районные дотации, субсидии и субвенции) бюджет поселения исполнен в сумме 4 млн. 877 тыс.руб. или 96,3% к утвержденному бюджетному назначению на 2019 год.</w:t>
      </w:r>
    </w:p>
    <w:p>
      <w:pPr>
        <w:pStyle w:val="282"/>
        <w:rPr>
          <w:sz w:val="24"/>
        </w:rPr>
      </w:pPr>
      <w:r>
        <w:rPr>
          <w:sz w:val="24"/>
        </w:rPr>
        <w:t>Расходы бюджета поселения за 2019 год составили 17 млн. 356 тыс.рублей.</w:t>
      </w:r>
    </w:p>
    <w:p>
      <w:pPr>
        <w:pStyle w:val="282"/>
        <w:rPr>
          <w:sz w:val="24"/>
        </w:rPr>
      </w:pPr>
      <w:r>
        <w:rPr>
          <w:sz w:val="24"/>
        </w:rPr>
        <w:t>Бюджет поселения за 2019 год исполнен с дефицитом в сумме 499,5 тыс.рублей.</w:t>
      </w:r>
    </w:p>
    <w:p>
      <w:pPr>
        <w:pStyle w:val="3"/>
        <w:keepNext w:val="0"/>
        <w:numPr>
          <w:ilvl w:val="1"/>
          <w:numId w:val="26"/>
        </w:numPr>
        <w:suppressAutoHyphens/>
        <w:spacing w:before="480" w:after="360" w:line="360" w:lineRule="auto"/>
        <w:ind w:left="0" w:firstLine="0"/>
        <w:jc w:val="center"/>
        <w:rPr>
          <w:rFonts w:ascii="Times New Roman" w:hAnsi="Times New Roman"/>
          <w:i w:val="0"/>
          <w:sz w:val="30"/>
        </w:rPr>
      </w:pPr>
      <w:bookmarkStart w:id="71" w:name="_Toc57203196"/>
      <w:r>
        <w:rPr>
          <w:rFonts w:ascii="Times New Roman" w:hAnsi="Times New Roman"/>
          <w:i w:val="0"/>
          <w:sz w:val="30"/>
        </w:rPr>
        <w:t>Население</w:t>
      </w:r>
      <w:bookmarkEnd w:id="69"/>
      <w:bookmarkEnd w:id="70"/>
      <w:bookmarkEnd w:id="71"/>
    </w:p>
    <w:p>
      <w:pPr>
        <w:pStyle w:val="282"/>
        <w:rPr>
          <w:sz w:val="24"/>
        </w:rPr>
      </w:pPr>
      <w:r>
        <w:rPr>
          <w:sz w:val="24"/>
        </w:rPr>
        <w:t>Численность населения на 1 января 2020 года – 2071 человек.</w:t>
      </w:r>
    </w:p>
    <w:p>
      <w:pPr>
        <w:pStyle w:val="147"/>
        <w:numPr>
          <w:ilvl w:val="0"/>
          <w:numId w:val="25"/>
        </w:numPr>
        <w:suppressAutoHyphens/>
        <w:spacing w:after="0" w:line="360" w:lineRule="auto"/>
        <w:jc w:val="both"/>
      </w:pPr>
      <w:r>
        <w:t>пенсионеров – 612</w:t>
      </w:r>
    </w:p>
    <w:p>
      <w:pPr>
        <w:pStyle w:val="147"/>
        <w:numPr>
          <w:ilvl w:val="0"/>
          <w:numId w:val="25"/>
        </w:numPr>
        <w:suppressAutoHyphens/>
        <w:spacing w:after="0" w:line="360" w:lineRule="auto"/>
        <w:jc w:val="both"/>
      </w:pPr>
      <w:r>
        <w:t>трудоспособного населения - 1134</w:t>
      </w:r>
    </w:p>
    <w:p>
      <w:pPr>
        <w:pStyle w:val="147"/>
        <w:numPr>
          <w:ilvl w:val="0"/>
          <w:numId w:val="25"/>
        </w:numPr>
        <w:suppressAutoHyphens/>
        <w:spacing w:after="0" w:line="360" w:lineRule="auto"/>
        <w:jc w:val="both"/>
      </w:pPr>
      <w:r>
        <w:t>учащихся школы – 195</w:t>
      </w:r>
    </w:p>
    <w:p>
      <w:pPr>
        <w:pStyle w:val="147"/>
        <w:numPr>
          <w:ilvl w:val="0"/>
          <w:numId w:val="25"/>
        </w:numPr>
        <w:suppressAutoHyphens/>
        <w:spacing w:after="0" w:line="360" w:lineRule="auto"/>
        <w:jc w:val="both"/>
      </w:pPr>
      <w:r>
        <w:t>детей, посещающих детский сад - 82</w:t>
      </w:r>
    </w:p>
    <w:p>
      <w:pPr>
        <w:pStyle w:val="147"/>
        <w:numPr>
          <w:ilvl w:val="0"/>
          <w:numId w:val="25"/>
        </w:numPr>
        <w:suppressAutoHyphens/>
        <w:spacing w:after="0" w:line="360" w:lineRule="auto"/>
        <w:jc w:val="both"/>
      </w:pPr>
      <w:r>
        <w:t>безработных граждан, состоящих на учете в ЦЗН - 31 человек, что на 13 человек больше, чем на 1 января 2019 года.</w:t>
      </w:r>
    </w:p>
    <w:p>
      <w:pPr>
        <w:pStyle w:val="282"/>
        <w:rPr>
          <w:sz w:val="24"/>
        </w:rPr>
      </w:pPr>
      <w:r>
        <w:rPr>
          <w:sz w:val="24"/>
        </w:rPr>
        <w:t>Всего за 2019 год родилось – 10 детей, умерло – 28 человек, прибыло - 29, выбыло – 11 человек.</w:t>
      </w:r>
    </w:p>
    <w:p>
      <w:pPr>
        <w:pStyle w:val="282"/>
        <w:rPr>
          <w:sz w:val="24"/>
        </w:rPr>
      </w:pPr>
      <w:r>
        <w:rPr>
          <w:sz w:val="24"/>
        </w:rPr>
        <w:t>На воинском учете состоит 502 человека, из них 467 граждан, пребывающих в запасе. В вооруженных силах на сегодняшний день служат в рядах Российской Армии - 7 человек, 12 юношей села подлежат первоначальной постановке на воинский учет, 35 – подлежат призыву на военную службу.</w:t>
      </w:r>
    </w:p>
    <w:p>
      <w:pPr>
        <w:suppressAutoHyphens/>
        <w:spacing w:after="0" w:line="360" w:lineRule="auto"/>
        <w:jc w:val="both"/>
      </w:pPr>
    </w:p>
    <w:p>
      <w:pPr>
        <w:spacing w:after="0" w:line="360" w:lineRule="auto"/>
        <w:ind w:left="720"/>
        <w:contextualSpacing/>
        <w:jc w:val="center"/>
        <w:rPr>
          <w:b/>
          <w:lang w:eastAsia="ru-RU"/>
        </w:rPr>
      </w:pPr>
      <w:r>
        <w:rPr>
          <w:b/>
          <w:lang w:eastAsia="ru-RU"/>
        </w:rPr>
        <w:t>Прогноз численности населения</w:t>
      </w:r>
    </w:p>
    <w:p>
      <w:pPr>
        <w:widowControl w:val="0"/>
        <w:spacing w:after="0" w:line="360" w:lineRule="auto"/>
        <w:ind w:firstLine="900"/>
        <w:jc w:val="both"/>
        <w:rPr>
          <w:rFonts w:eastAsia="Times New Roman"/>
          <w:kern w:val="0"/>
          <w:lang w:eastAsia="ru-RU"/>
        </w:rPr>
      </w:pPr>
      <w:r>
        <w:rPr>
          <w:rFonts w:eastAsia="Times New Roman"/>
          <w:kern w:val="0"/>
          <w:lang w:eastAsia="ru-RU"/>
        </w:rPr>
        <w:t>Основными факторами, определяющими численность населения, является естественное движение (естественный прирост-убыль) населения, складывающееся из показателей рождаемости и смертности, а также механическое движение населения (миграция).</w:t>
      </w:r>
    </w:p>
    <w:p>
      <w:pPr>
        <w:spacing w:after="0" w:line="360" w:lineRule="auto"/>
        <w:ind w:firstLine="851"/>
        <w:jc w:val="both"/>
        <w:rPr>
          <w:lang w:eastAsia="ru-RU"/>
        </w:rPr>
      </w:pPr>
      <w:r>
        <w:rPr>
          <w:lang w:eastAsia="ru-RU"/>
        </w:rPr>
        <w:t>Оценка перспективного изменения численности населения берется в достаточно широком временном диапазоне (до 2040 г.) и требует построения двух вариантов прогноза - «инерционного» и «инновационного». Они необходимы в условиях поливариантности дальнейшего социально-экономического развития территории. Расчетная численность населения на два срока: 2030 год (первая очередь генерального плана) и 2040 год (расчетный срок).</w:t>
      </w:r>
    </w:p>
    <w:p>
      <w:pPr>
        <w:spacing w:after="0" w:line="360" w:lineRule="auto"/>
        <w:ind w:firstLine="851"/>
        <w:jc w:val="both"/>
        <w:rPr>
          <w:lang w:eastAsia="ru-RU"/>
        </w:rPr>
      </w:pPr>
      <w:r>
        <w:rPr>
          <w:lang w:eastAsia="ru-RU"/>
        </w:rPr>
        <w:t xml:space="preserve">«Инерционный» сценарий прогноза предполагает сохранение сложившихся условий смертности, рождаемости и миграции. </w:t>
      </w:r>
    </w:p>
    <w:p>
      <w:pPr>
        <w:spacing w:after="0" w:line="360" w:lineRule="auto"/>
        <w:ind w:firstLine="851"/>
        <w:jc w:val="both"/>
        <w:rPr>
          <w:lang w:eastAsia="ru-RU"/>
        </w:rPr>
      </w:pPr>
      <w:r>
        <w:rPr>
          <w:lang w:eastAsia="ru-RU"/>
        </w:rPr>
        <w:t>«Инновационный» сценарий основан на росте численности населения за счет повышения уровня рождаемости, снижения смертности, увеличения миграционного притока населения.</w:t>
      </w:r>
    </w:p>
    <w:p>
      <w:pPr>
        <w:spacing w:after="0" w:line="360" w:lineRule="auto"/>
        <w:ind w:firstLine="851"/>
        <w:jc w:val="both"/>
        <w:rPr>
          <w:lang w:eastAsia="ru-RU"/>
        </w:rPr>
      </w:pPr>
      <w:r>
        <w:rPr>
          <w:lang w:eastAsia="ru-RU"/>
        </w:rPr>
        <w:t>Численность населения рассчитывается согласно существующей методике по формуле:</w:t>
      </w:r>
    </w:p>
    <w:p>
      <w:pPr>
        <w:spacing w:after="0" w:line="360" w:lineRule="auto"/>
        <w:ind w:firstLine="851"/>
        <w:jc w:val="center"/>
        <w:rPr>
          <w:b/>
          <w:lang w:eastAsia="ru-RU"/>
        </w:rPr>
      </w:pPr>
      <w:r>
        <w:rPr>
          <w:b/>
          <w:lang w:eastAsia="ru-RU"/>
        </w:rPr>
        <w:t>Но = Нс (1 + Р)/100)Т,</w:t>
      </w:r>
    </w:p>
    <w:p>
      <w:pPr>
        <w:spacing w:after="0" w:line="360" w:lineRule="auto"/>
        <w:ind w:firstLine="851"/>
        <w:rPr>
          <w:lang w:eastAsia="ru-RU"/>
        </w:rPr>
      </w:pPr>
      <w:r>
        <w:rPr>
          <w:lang w:eastAsia="ru-RU"/>
        </w:rPr>
        <w:t>где,</w:t>
      </w:r>
      <w:r>
        <w:rPr>
          <w:lang w:eastAsia="ru-RU"/>
        </w:rPr>
        <w:tab/>
      </w:r>
      <w:r>
        <w:rPr>
          <w:b/>
          <w:lang w:eastAsia="ru-RU"/>
        </w:rPr>
        <w:t>Но</w:t>
      </w:r>
      <w:r>
        <w:rPr>
          <w:lang w:eastAsia="ru-RU"/>
        </w:rPr>
        <w:t xml:space="preserve"> – ожидаемая численность населения на расчетный год,</w:t>
      </w:r>
    </w:p>
    <w:p>
      <w:pPr>
        <w:spacing w:after="0" w:line="360" w:lineRule="auto"/>
        <w:ind w:firstLine="851"/>
        <w:rPr>
          <w:lang w:eastAsia="ru-RU"/>
        </w:rPr>
      </w:pPr>
      <w:r>
        <w:rPr>
          <w:b/>
          <w:lang w:eastAsia="ru-RU"/>
        </w:rPr>
        <w:t>Нс</w:t>
      </w:r>
      <w:r>
        <w:rPr>
          <w:lang w:eastAsia="ru-RU"/>
        </w:rPr>
        <w:t xml:space="preserve"> – существующая численность населения,</w:t>
      </w:r>
    </w:p>
    <w:p>
      <w:pPr>
        <w:spacing w:after="0" w:line="360" w:lineRule="auto"/>
        <w:ind w:firstLine="851"/>
        <w:rPr>
          <w:lang w:eastAsia="ru-RU"/>
        </w:rPr>
      </w:pPr>
      <w:r>
        <w:rPr>
          <w:b/>
          <w:lang w:eastAsia="ru-RU"/>
        </w:rPr>
        <w:t>Р</w:t>
      </w:r>
      <w:r>
        <w:rPr>
          <w:lang w:eastAsia="ru-RU"/>
        </w:rPr>
        <w:t xml:space="preserve"> – среднегодовой общий прирост,</w:t>
      </w:r>
    </w:p>
    <w:p>
      <w:pPr>
        <w:spacing w:after="0" w:line="360" w:lineRule="auto"/>
        <w:ind w:firstLine="851"/>
        <w:rPr>
          <w:lang w:eastAsia="ru-RU"/>
        </w:rPr>
      </w:pPr>
      <w:r>
        <w:rPr>
          <w:b/>
          <w:lang w:eastAsia="ru-RU"/>
        </w:rPr>
        <w:t>Т</w:t>
      </w:r>
      <w:r>
        <w:rPr>
          <w:lang w:eastAsia="ru-RU"/>
        </w:rPr>
        <w:t xml:space="preserve"> – число лет расчетного срока.</w:t>
      </w:r>
    </w:p>
    <w:p>
      <w:pPr>
        <w:spacing w:after="0" w:line="360" w:lineRule="auto"/>
        <w:ind w:firstLine="851"/>
        <w:jc w:val="both"/>
        <w:rPr>
          <w:lang w:eastAsia="ru-RU"/>
        </w:rPr>
      </w:pPr>
      <w:r>
        <w:rPr>
          <w:lang w:eastAsia="ru-RU"/>
        </w:rPr>
        <w:t>Далее приведен расчет инерционного и инновационного прогноза численности населения.</w:t>
      </w:r>
    </w:p>
    <w:p>
      <w:pPr>
        <w:spacing w:after="0" w:line="360" w:lineRule="auto"/>
        <w:ind w:firstLine="851"/>
        <w:jc w:val="both"/>
        <w:rPr>
          <w:lang w:eastAsia="ru-RU"/>
        </w:rPr>
      </w:pPr>
    </w:p>
    <w:p>
      <w:pPr>
        <w:spacing w:line="240" w:lineRule="auto"/>
        <w:jc w:val="center"/>
        <w:rPr>
          <w:b/>
          <w:bCs/>
        </w:rPr>
      </w:pPr>
      <w:r>
        <w:rPr>
          <w:b/>
          <w:bCs/>
        </w:rPr>
        <w:t xml:space="preserve">Расчет прогнозной численности населения муниципального образования </w:t>
      </w:r>
    </w:p>
    <w:p>
      <w:pPr>
        <w:pStyle w:val="147"/>
        <w:numPr>
          <w:ilvl w:val="0"/>
          <w:numId w:val="23"/>
        </w:numPr>
        <w:ind w:right="142"/>
        <w:jc w:val="right"/>
        <w:rPr>
          <w:b/>
          <w:bCs/>
        </w:rPr>
      </w:pPr>
      <w:r>
        <w:rPr>
          <w:b/>
          <w:bCs/>
        </w:rPr>
        <w:t>Таблица 8</w:t>
      </w:r>
    </w:p>
    <w:tbl>
      <w:tblPr>
        <w:tblStyle w:val="12"/>
        <w:tblW w:w="5000" w:type="pct"/>
        <w:tblInd w:w="0" w:type="dxa"/>
        <w:tblLayout w:type="autofit"/>
        <w:tblCellMar>
          <w:top w:w="0" w:type="dxa"/>
          <w:left w:w="108" w:type="dxa"/>
          <w:bottom w:w="0" w:type="dxa"/>
          <w:right w:w="108" w:type="dxa"/>
        </w:tblCellMar>
      </w:tblPr>
      <w:tblGrid>
        <w:gridCol w:w="4213"/>
        <w:gridCol w:w="2895"/>
        <w:gridCol w:w="3314"/>
      </w:tblGrid>
      <w:tr>
        <w:tblPrEx>
          <w:tblCellMar>
            <w:top w:w="0" w:type="dxa"/>
            <w:left w:w="108" w:type="dxa"/>
            <w:bottom w:w="0" w:type="dxa"/>
            <w:right w:w="108" w:type="dxa"/>
          </w:tblCellMar>
        </w:tblPrEx>
        <w:trPr>
          <w:trHeight w:val="330" w:hRule="atLeast"/>
          <w:tblHeader/>
        </w:trPr>
        <w:tc>
          <w:tcPr>
            <w:tcW w:w="2021"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Показатели</w:t>
            </w:r>
          </w:p>
        </w:tc>
        <w:tc>
          <w:tcPr>
            <w:tcW w:w="2979" w:type="pct"/>
            <w:gridSpan w:val="2"/>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Значение</w:t>
            </w:r>
          </w:p>
        </w:tc>
      </w:tr>
      <w:tr>
        <w:tblPrEx>
          <w:tblCellMar>
            <w:top w:w="0" w:type="dxa"/>
            <w:left w:w="108" w:type="dxa"/>
            <w:bottom w:w="0" w:type="dxa"/>
            <w:right w:w="108" w:type="dxa"/>
          </w:tblCellMar>
        </w:tblPrEx>
        <w:trPr>
          <w:trHeight w:val="780" w:hRule="atLeast"/>
          <w:tblHeader/>
        </w:trPr>
        <w:tc>
          <w:tcPr>
            <w:tcW w:w="2021" w:type="pct"/>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spacing w:after="0" w:line="240" w:lineRule="auto"/>
              <w:rPr>
                <w:rFonts w:eastAsia="Times New Roman"/>
                <w:b/>
                <w:kern w:val="0"/>
                <w:lang w:eastAsia="ru-RU"/>
              </w:rPr>
            </w:pP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инерционный сценарий</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инновационный сценарий</w:t>
            </w:r>
          </w:p>
        </w:tc>
      </w:tr>
      <w:tr>
        <w:tblPrEx>
          <w:tblCellMar>
            <w:top w:w="0" w:type="dxa"/>
            <w:left w:w="108" w:type="dxa"/>
            <w:bottom w:w="0" w:type="dxa"/>
            <w:right w:w="108" w:type="dxa"/>
          </w:tblCellMar>
        </w:tblPrEx>
        <w:trPr>
          <w:trHeight w:val="525"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Численность населения, чел. на 01.01.2020 г.</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2071</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2071</w:t>
            </w:r>
          </w:p>
        </w:tc>
      </w:tr>
      <w:tr>
        <w:tblPrEx>
          <w:tblCellMar>
            <w:top w:w="0" w:type="dxa"/>
            <w:left w:w="108" w:type="dxa"/>
            <w:bottom w:w="0" w:type="dxa"/>
            <w:right w:w="108" w:type="dxa"/>
          </w:tblCellMar>
        </w:tblPrEx>
        <w:trPr>
          <w:trHeight w:val="525"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Среднегодовой общий прирост населения, %</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-0,3</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0,9</w:t>
            </w:r>
          </w:p>
        </w:tc>
      </w:tr>
      <w:tr>
        <w:tblPrEx>
          <w:tblCellMar>
            <w:top w:w="0" w:type="dxa"/>
            <w:left w:w="108" w:type="dxa"/>
            <w:bottom w:w="0" w:type="dxa"/>
            <w:right w:w="108" w:type="dxa"/>
          </w:tblCellMar>
        </w:tblPrEx>
        <w:trPr>
          <w:trHeight w:val="51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Срок первой очереди с 2020 г. по 2030 г.</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10</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10</w:t>
            </w:r>
          </w:p>
        </w:tc>
      </w:tr>
      <w:tr>
        <w:tblPrEx>
          <w:tblCellMar>
            <w:top w:w="0" w:type="dxa"/>
            <w:left w:w="108" w:type="dxa"/>
            <w:bottom w:w="0" w:type="dxa"/>
            <w:right w:w="108" w:type="dxa"/>
          </w:tblCellMar>
        </w:tblPrEx>
        <w:trPr>
          <w:trHeight w:val="30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Расчетный срок с 2030 г. по 2040 г.</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10</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10</w:t>
            </w:r>
          </w:p>
        </w:tc>
      </w:tr>
      <w:tr>
        <w:tblPrEx>
          <w:tblCellMar>
            <w:top w:w="0" w:type="dxa"/>
            <w:left w:w="108" w:type="dxa"/>
            <w:bottom w:w="0" w:type="dxa"/>
            <w:right w:w="108" w:type="dxa"/>
          </w:tblCellMar>
        </w:tblPrEx>
        <w:trPr>
          <w:trHeight w:val="51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Ожидаемая численность населения на 01.01.2030 г., чел</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2001</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2265</w:t>
            </w:r>
          </w:p>
        </w:tc>
      </w:tr>
      <w:tr>
        <w:tblPrEx>
          <w:tblCellMar>
            <w:top w:w="0" w:type="dxa"/>
            <w:left w:w="108" w:type="dxa"/>
            <w:bottom w:w="0" w:type="dxa"/>
            <w:right w:w="108" w:type="dxa"/>
          </w:tblCellMar>
        </w:tblPrEx>
        <w:trPr>
          <w:trHeight w:val="51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b/>
                <w:bCs/>
                <w:kern w:val="0"/>
                <w:lang w:eastAsia="ru-RU"/>
              </w:rPr>
            </w:pPr>
            <w:r>
              <w:rPr>
                <w:rFonts w:eastAsia="Times New Roman"/>
                <w:b/>
                <w:bCs/>
                <w:kern w:val="0"/>
                <w:lang w:eastAsia="ru-RU"/>
              </w:rPr>
              <w:t>Ожидаемая численность населения на 01.01.2040 г., чел.</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1933</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2477</w:t>
            </w:r>
          </w:p>
        </w:tc>
      </w:tr>
      <w:tr>
        <w:tblPrEx>
          <w:tblCellMar>
            <w:top w:w="0" w:type="dxa"/>
            <w:left w:w="108" w:type="dxa"/>
            <w:bottom w:w="0" w:type="dxa"/>
            <w:right w:w="108" w:type="dxa"/>
          </w:tblCellMar>
        </w:tblPrEx>
        <w:trPr>
          <w:trHeight w:val="51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Абсолютный прирост населения с 2020 по 2040 г., чел.</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-138</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406</w:t>
            </w:r>
          </w:p>
        </w:tc>
      </w:tr>
      <w:tr>
        <w:tblPrEx>
          <w:tblCellMar>
            <w:top w:w="0" w:type="dxa"/>
            <w:left w:w="108" w:type="dxa"/>
            <w:bottom w:w="0" w:type="dxa"/>
            <w:right w:w="108" w:type="dxa"/>
          </w:tblCellMar>
        </w:tblPrEx>
        <w:trPr>
          <w:trHeight w:val="510" w:hRule="atLeast"/>
        </w:trPr>
        <w:tc>
          <w:tcPr>
            <w:tcW w:w="2021"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Относительный прирост населения с 2020 по 2040 г., %</w:t>
            </w:r>
          </w:p>
        </w:tc>
        <w:tc>
          <w:tcPr>
            <w:tcW w:w="13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-7</w:t>
            </w:r>
          </w:p>
        </w:tc>
        <w:tc>
          <w:tcPr>
            <w:tcW w:w="159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20</w:t>
            </w:r>
          </w:p>
        </w:tc>
      </w:tr>
    </w:tbl>
    <w:p>
      <w:pPr>
        <w:suppressAutoHyphens/>
        <w:spacing w:before="120" w:after="0" w:line="360" w:lineRule="auto"/>
        <w:ind w:firstLine="708"/>
        <w:jc w:val="both"/>
        <w:rPr>
          <w:lang w:eastAsia="ru-RU"/>
        </w:rPr>
      </w:pPr>
      <w:r>
        <w:rPr>
          <w:lang w:eastAsia="ru-RU"/>
        </w:rPr>
        <w:t xml:space="preserve">Инерционный сценарий прогноза показывает, что темпы среднегодового общего прироста составят -0,3%. </w:t>
      </w:r>
    </w:p>
    <w:p>
      <w:pPr>
        <w:spacing w:after="0" w:line="360" w:lineRule="auto"/>
        <w:ind w:firstLine="851"/>
        <w:jc w:val="both"/>
        <w:rPr>
          <w:lang w:eastAsia="ru-RU"/>
        </w:rPr>
      </w:pPr>
      <w:r>
        <w:rPr>
          <w:lang w:eastAsia="ru-RU"/>
        </w:rPr>
        <w:t xml:space="preserve">Расчет численности населения по инновационному сценарию развития выполнен с ориентацией на увеличение темпов естественного прироста и снижением уровня миграционного оттока населения в муниципальном образовании. Согласно нашим расчетам: среднегодовой общий прирост должен составить 0,9 %. В итоге численность населения в муниципальном образовании к 2030 году составит </w:t>
      </w:r>
      <w:r>
        <w:rPr>
          <w:b/>
          <w:lang w:eastAsia="ru-RU"/>
        </w:rPr>
        <w:t>2265</w:t>
      </w:r>
      <w:r>
        <w:rPr>
          <w:lang w:eastAsia="ru-RU"/>
        </w:rPr>
        <w:t xml:space="preserve"> человек, к 2040 году численность достигнет </w:t>
      </w:r>
      <w:r>
        <w:rPr>
          <w:b/>
          <w:lang w:eastAsia="ru-RU"/>
        </w:rPr>
        <w:t xml:space="preserve">2477 </w:t>
      </w:r>
      <w:r>
        <w:rPr>
          <w:lang w:eastAsia="ru-RU"/>
        </w:rPr>
        <w:t>человек (относительный прирост 20 %).</w:t>
      </w:r>
    </w:p>
    <w:p>
      <w:pPr>
        <w:pStyle w:val="3"/>
        <w:keepLines/>
        <w:numPr>
          <w:ilvl w:val="1"/>
          <w:numId w:val="27"/>
        </w:numPr>
        <w:suppressAutoHyphens/>
        <w:spacing w:before="480" w:after="360" w:line="360" w:lineRule="auto"/>
        <w:ind w:left="0" w:firstLine="0"/>
        <w:jc w:val="center"/>
        <w:rPr>
          <w:rFonts w:ascii="Times New Roman" w:hAnsi="Times New Roman"/>
          <w:i w:val="0"/>
          <w:sz w:val="30"/>
          <w:szCs w:val="30"/>
        </w:rPr>
      </w:pPr>
      <w:bookmarkStart w:id="72" w:name="_Toc268263638"/>
      <w:bookmarkStart w:id="73" w:name="_Toc342472318"/>
      <w:bookmarkStart w:id="74" w:name="_Toc57203197"/>
      <w:bookmarkStart w:id="75" w:name="_Toc247965270"/>
      <w:r>
        <w:rPr>
          <w:rFonts w:ascii="Times New Roman" w:hAnsi="Times New Roman"/>
          <w:i w:val="0"/>
          <w:sz w:val="30"/>
          <w:szCs w:val="30"/>
        </w:rPr>
        <w:t>Жилищный фонд</w:t>
      </w:r>
      <w:bookmarkEnd w:id="72"/>
      <w:bookmarkEnd w:id="73"/>
      <w:bookmarkEnd w:id="74"/>
      <w:bookmarkEnd w:id="75"/>
    </w:p>
    <w:p>
      <w:pPr>
        <w:suppressAutoHyphens/>
        <w:spacing w:before="120" w:after="0" w:line="360" w:lineRule="auto"/>
        <w:ind w:firstLine="708"/>
        <w:jc w:val="both"/>
        <w:rPr>
          <w:lang w:eastAsia="ru-RU"/>
        </w:rPr>
      </w:pPr>
      <w:r>
        <w:rPr>
          <w:lang w:eastAsia="ru-RU"/>
        </w:rPr>
        <w:t>Существующий жилищный фонд состоит из многоквартирной жилой застройки и индивидуальной жилой застройки и составляет 39,9 тыс. м</w:t>
      </w:r>
      <w:r>
        <w:rPr>
          <w:vertAlign w:val="superscript"/>
          <w:lang w:eastAsia="ru-RU"/>
        </w:rPr>
        <w:t>2</w:t>
      </w:r>
      <w:r>
        <w:rPr>
          <w:lang w:eastAsia="ru-RU"/>
        </w:rPr>
        <w:t xml:space="preserve"> общей площади.</w:t>
      </w:r>
    </w:p>
    <w:p>
      <w:pPr>
        <w:suppressAutoHyphens/>
        <w:spacing w:before="120" w:after="0" w:line="360" w:lineRule="auto"/>
        <w:ind w:firstLine="708"/>
        <w:jc w:val="both"/>
        <w:rPr>
          <w:lang w:eastAsia="ru-RU"/>
        </w:rPr>
      </w:pPr>
      <w:r>
        <w:rPr>
          <w:lang w:eastAsia="ru-RU"/>
        </w:rPr>
        <w:t>Жилой фонд села представлен индивидуальной жилой застройкой, которая представлена 796 домами, а также многоквартирной застройкой, которая насчитывает 1 четырехквартирный дом и 11 двухквартирных домов.</w:t>
      </w:r>
    </w:p>
    <w:p>
      <w:pPr>
        <w:suppressAutoHyphens/>
        <w:spacing w:before="120" w:after="0" w:line="360" w:lineRule="auto"/>
        <w:ind w:firstLine="708"/>
        <w:jc w:val="both"/>
        <w:rPr>
          <w:lang w:eastAsia="ru-RU"/>
        </w:rPr>
      </w:pPr>
      <w:r>
        <w:rPr>
          <w:lang w:eastAsia="ru-RU"/>
        </w:rPr>
        <w:t>Показатели жилищного фонда села Ейское Укрепление представлены в таблице 9.</w:t>
      </w:r>
    </w:p>
    <w:p>
      <w:pPr>
        <w:suppressAutoHyphens/>
        <w:spacing w:before="120" w:after="0" w:line="360" w:lineRule="auto"/>
        <w:ind w:firstLine="708"/>
        <w:jc w:val="both"/>
        <w:rPr>
          <w:lang w:eastAsia="ru-RU"/>
        </w:rPr>
      </w:pPr>
    </w:p>
    <w:p>
      <w:pPr>
        <w:spacing w:line="240" w:lineRule="auto"/>
        <w:jc w:val="center"/>
        <w:rPr>
          <w:rFonts w:cs="Tahoma"/>
          <w:b/>
          <w:bCs/>
          <w:sz w:val="28"/>
          <w:szCs w:val="28"/>
        </w:rPr>
      </w:pPr>
      <w:r>
        <w:rPr>
          <w:b/>
          <w:bCs/>
        </w:rPr>
        <w:t>Жилищный фонд села Ейское Укрепление</w:t>
      </w:r>
    </w:p>
    <w:p>
      <w:pPr>
        <w:pStyle w:val="147"/>
        <w:numPr>
          <w:ilvl w:val="0"/>
          <w:numId w:val="23"/>
        </w:numPr>
        <w:ind w:right="142"/>
        <w:jc w:val="right"/>
        <w:rPr>
          <w:b/>
          <w:bCs/>
        </w:rPr>
      </w:pPr>
      <w:r>
        <w:rPr>
          <w:b/>
          <w:bCs/>
        </w:rPr>
        <w:t>Таблица 9</w:t>
      </w:r>
    </w:p>
    <w:tbl>
      <w:tblPr>
        <w:tblStyle w:val="12"/>
        <w:tblW w:w="5000" w:type="pct"/>
        <w:tblInd w:w="0" w:type="dxa"/>
        <w:tblLayout w:type="autofit"/>
        <w:tblCellMar>
          <w:top w:w="0" w:type="dxa"/>
          <w:left w:w="108" w:type="dxa"/>
          <w:bottom w:w="0" w:type="dxa"/>
          <w:right w:w="108" w:type="dxa"/>
        </w:tblCellMar>
      </w:tblPr>
      <w:tblGrid>
        <w:gridCol w:w="5210"/>
        <w:gridCol w:w="2606"/>
        <w:gridCol w:w="2606"/>
      </w:tblGrid>
      <w:tr>
        <w:tblPrEx>
          <w:tblCellMar>
            <w:top w:w="0" w:type="dxa"/>
            <w:left w:w="108" w:type="dxa"/>
            <w:bottom w:w="0" w:type="dxa"/>
            <w:right w:w="108" w:type="dxa"/>
          </w:tblCellMar>
        </w:tblPrEx>
        <w:trPr>
          <w:trHeight w:val="318" w:hRule="atLeast"/>
          <w:tblHeader/>
        </w:trPr>
        <w:tc>
          <w:tcPr>
            <w:tcW w:w="2500" w:type="pct"/>
            <w:tcBorders>
              <w:top w:val="single" w:color="000000" w:sz="4" w:space="0"/>
              <w:left w:val="single" w:color="000000" w:sz="4" w:space="0"/>
              <w:bottom w:val="single" w:color="000000" w:sz="4" w:space="0"/>
            </w:tcBorders>
          </w:tcPr>
          <w:p>
            <w:pPr>
              <w:snapToGrid w:val="0"/>
              <w:jc w:val="center"/>
              <w:rPr>
                <w:rFonts w:cs="Tahoma"/>
                <w:b/>
              </w:rPr>
            </w:pPr>
            <w:r>
              <w:rPr>
                <w:rFonts w:cs="Tahoma"/>
                <w:b/>
              </w:rPr>
              <w:t>Наименование</w:t>
            </w:r>
          </w:p>
        </w:tc>
        <w:tc>
          <w:tcPr>
            <w:tcW w:w="1250" w:type="pct"/>
            <w:tcBorders>
              <w:top w:val="single" w:color="000000" w:sz="4" w:space="0"/>
              <w:left w:val="single" w:color="000000" w:sz="4" w:space="0"/>
              <w:bottom w:val="single" w:color="000000" w:sz="4" w:space="0"/>
            </w:tcBorders>
          </w:tcPr>
          <w:p>
            <w:pPr>
              <w:snapToGrid w:val="0"/>
              <w:jc w:val="center"/>
              <w:rPr>
                <w:rFonts w:cs="Tahoma"/>
                <w:b/>
              </w:rPr>
            </w:pPr>
            <w:r>
              <w:rPr>
                <w:rFonts w:cs="Tahoma"/>
                <w:b/>
              </w:rPr>
              <w:t>Ед. измерения</w:t>
            </w:r>
          </w:p>
        </w:tc>
        <w:tc>
          <w:tcPr>
            <w:tcW w:w="1250" w:type="pct"/>
            <w:tcBorders>
              <w:top w:val="single" w:color="000000" w:sz="4" w:space="0"/>
              <w:left w:val="single" w:color="000000" w:sz="4" w:space="0"/>
              <w:bottom w:val="single" w:color="000000" w:sz="4" w:space="0"/>
              <w:right w:val="single" w:color="000000" w:sz="4" w:space="0"/>
            </w:tcBorders>
          </w:tcPr>
          <w:p>
            <w:pPr>
              <w:snapToGrid w:val="0"/>
              <w:jc w:val="center"/>
              <w:rPr>
                <w:rFonts w:cs="Tahoma"/>
                <w:b/>
              </w:rPr>
            </w:pPr>
            <w:r>
              <w:rPr>
                <w:rFonts w:cs="Tahoma"/>
                <w:b/>
              </w:rPr>
              <w:t>Показатели</w:t>
            </w:r>
          </w:p>
        </w:tc>
      </w:tr>
      <w:tr>
        <w:tblPrEx>
          <w:tblCellMar>
            <w:top w:w="0" w:type="dxa"/>
            <w:left w:w="108" w:type="dxa"/>
            <w:bottom w:w="0" w:type="dxa"/>
            <w:right w:w="108" w:type="dxa"/>
          </w:tblCellMar>
        </w:tblPrEx>
        <w:trPr>
          <w:trHeight w:val="333" w:hRule="atLeast"/>
        </w:trPr>
        <w:tc>
          <w:tcPr>
            <w:tcW w:w="2500" w:type="pct"/>
            <w:tcBorders>
              <w:left w:val="single" w:color="000000" w:sz="4" w:space="0"/>
              <w:bottom w:val="single" w:color="000000" w:sz="4" w:space="0"/>
            </w:tcBorders>
          </w:tcPr>
          <w:p>
            <w:pPr>
              <w:snapToGrid w:val="0"/>
              <w:rPr>
                <w:rFonts w:cs="Tahoma"/>
              </w:rPr>
            </w:pPr>
            <w:r>
              <w:rPr>
                <w:rFonts w:cs="Tahoma"/>
              </w:rPr>
              <w:t>Общая площадь жилого фонда</w:t>
            </w:r>
          </w:p>
        </w:tc>
        <w:tc>
          <w:tcPr>
            <w:tcW w:w="1250" w:type="pct"/>
            <w:tcBorders>
              <w:left w:val="single" w:color="000000" w:sz="4" w:space="0"/>
              <w:bottom w:val="single" w:color="000000" w:sz="4" w:space="0"/>
            </w:tcBorders>
          </w:tcPr>
          <w:p>
            <w:pPr>
              <w:snapToGrid w:val="0"/>
              <w:jc w:val="center"/>
              <w:rPr>
                <w:rFonts w:cs="Tahoma"/>
                <w:vertAlign w:val="superscript"/>
              </w:rPr>
            </w:pPr>
            <w:r>
              <w:rPr>
                <w:rFonts w:cs="Tahoma"/>
              </w:rPr>
              <w:t>тыс. м</w:t>
            </w:r>
            <w:r>
              <w:rPr>
                <w:rFonts w:cs="Tahoma"/>
                <w:vertAlign w:val="superscript"/>
              </w:rPr>
              <w:t>2</w:t>
            </w:r>
          </w:p>
        </w:tc>
        <w:tc>
          <w:tcPr>
            <w:tcW w:w="1250" w:type="pct"/>
            <w:tcBorders>
              <w:left w:val="single" w:color="000000" w:sz="4" w:space="0"/>
              <w:bottom w:val="single" w:color="000000" w:sz="4" w:space="0"/>
              <w:right w:val="single" w:color="000000" w:sz="4" w:space="0"/>
            </w:tcBorders>
          </w:tcPr>
          <w:p>
            <w:pPr>
              <w:snapToGrid w:val="0"/>
              <w:jc w:val="center"/>
              <w:rPr>
                <w:rFonts w:cs="Tahoma"/>
              </w:rPr>
            </w:pPr>
            <w:r>
              <w:rPr>
                <w:rFonts w:cs="Tahoma"/>
              </w:rPr>
              <w:t>39,9</w:t>
            </w:r>
          </w:p>
        </w:tc>
      </w:tr>
      <w:tr>
        <w:tblPrEx>
          <w:tblCellMar>
            <w:top w:w="0" w:type="dxa"/>
            <w:left w:w="108" w:type="dxa"/>
            <w:bottom w:w="0" w:type="dxa"/>
            <w:right w:w="108" w:type="dxa"/>
          </w:tblCellMar>
        </w:tblPrEx>
        <w:trPr>
          <w:trHeight w:val="333" w:hRule="atLeast"/>
        </w:trPr>
        <w:tc>
          <w:tcPr>
            <w:tcW w:w="2500" w:type="pct"/>
            <w:tcBorders>
              <w:left w:val="single" w:color="000000" w:sz="4" w:space="0"/>
              <w:bottom w:val="single" w:color="000000" w:sz="4" w:space="0"/>
            </w:tcBorders>
          </w:tcPr>
          <w:p>
            <w:pPr>
              <w:snapToGrid w:val="0"/>
              <w:rPr>
                <w:rFonts w:cs="Tahoma"/>
              </w:rPr>
            </w:pPr>
            <w:r>
              <w:rPr>
                <w:rFonts w:cs="Tahoma"/>
              </w:rPr>
              <w:t>Количество домов всего</w:t>
            </w:r>
          </w:p>
        </w:tc>
        <w:tc>
          <w:tcPr>
            <w:tcW w:w="1250" w:type="pct"/>
            <w:tcBorders>
              <w:left w:val="single" w:color="000000" w:sz="4" w:space="0"/>
              <w:bottom w:val="single" w:color="000000" w:sz="4" w:space="0"/>
            </w:tcBorders>
          </w:tcPr>
          <w:p>
            <w:pPr>
              <w:snapToGrid w:val="0"/>
              <w:jc w:val="center"/>
              <w:rPr>
                <w:rFonts w:cs="Tahoma"/>
              </w:rPr>
            </w:pPr>
            <w:r>
              <w:rPr>
                <w:rFonts w:cs="Tahoma"/>
              </w:rPr>
              <w:t>шт.</w:t>
            </w:r>
          </w:p>
        </w:tc>
        <w:tc>
          <w:tcPr>
            <w:tcW w:w="1250" w:type="pct"/>
            <w:tcBorders>
              <w:left w:val="single" w:color="000000" w:sz="4" w:space="0"/>
              <w:bottom w:val="single" w:color="000000" w:sz="4" w:space="0"/>
              <w:right w:val="single" w:color="000000" w:sz="4" w:space="0"/>
            </w:tcBorders>
          </w:tcPr>
          <w:p>
            <w:pPr>
              <w:snapToGrid w:val="0"/>
              <w:jc w:val="center"/>
              <w:rPr>
                <w:rFonts w:cs="Tahoma"/>
              </w:rPr>
            </w:pPr>
            <w:r>
              <w:rPr>
                <w:rFonts w:cs="Tahoma"/>
              </w:rPr>
              <w:t>808</w:t>
            </w:r>
          </w:p>
        </w:tc>
      </w:tr>
      <w:tr>
        <w:tblPrEx>
          <w:tblCellMar>
            <w:top w:w="0" w:type="dxa"/>
            <w:left w:w="108" w:type="dxa"/>
            <w:bottom w:w="0" w:type="dxa"/>
            <w:right w:w="108" w:type="dxa"/>
          </w:tblCellMar>
        </w:tblPrEx>
        <w:trPr>
          <w:trHeight w:val="333" w:hRule="atLeast"/>
        </w:trPr>
        <w:tc>
          <w:tcPr>
            <w:tcW w:w="2500" w:type="pct"/>
            <w:tcBorders>
              <w:left w:val="single" w:color="000000" w:sz="4" w:space="0"/>
              <w:bottom w:val="single" w:color="000000" w:sz="4" w:space="0"/>
            </w:tcBorders>
          </w:tcPr>
          <w:p>
            <w:pPr>
              <w:snapToGrid w:val="0"/>
              <w:rPr>
                <w:rFonts w:cs="Tahoma"/>
                <w:highlight w:val="yellow"/>
              </w:rPr>
            </w:pPr>
            <w:r>
              <w:rPr>
                <w:rFonts w:cs="Tahoma"/>
              </w:rPr>
              <w:t>в том числе:</w:t>
            </w:r>
          </w:p>
        </w:tc>
        <w:tc>
          <w:tcPr>
            <w:tcW w:w="1250" w:type="pct"/>
            <w:tcBorders>
              <w:left w:val="single" w:color="000000" w:sz="4" w:space="0"/>
              <w:bottom w:val="single" w:color="000000" w:sz="4" w:space="0"/>
            </w:tcBorders>
          </w:tcPr>
          <w:p>
            <w:pPr>
              <w:snapToGrid w:val="0"/>
              <w:jc w:val="center"/>
              <w:rPr>
                <w:rFonts w:cs="Tahoma"/>
                <w:highlight w:val="yellow"/>
              </w:rPr>
            </w:pPr>
          </w:p>
        </w:tc>
        <w:tc>
          <w:tcPr>
            <w:tcW w:w="1250" w:type="pct"/>
            <w:tcBorders>
              <w:left w:val="single" w:color="000000" w:sz="4" w:space="0"/>
              <w:bottom w:val="single" w:color="000000" w:sz="4" w:space="0"/>
              <w:right w:val="single" w:color="000000" w:sz="4" w:space="0"/>
            </w:tcBorders>
          </w:tcPr>
          <w:p>
            <w:pPr>
              <w:snapToGrid w:val="0"/>
              <w:jc w:val="center"/>
              <w:rPr>
                <w:rFonts w:cs="Tahoma"/>
                <w:highlight w:val="yellow"/>
              </w:rPr>
            </w:pPr>
          </w:p>
        </w:tc>
      </w:tr>
      <w:tr>
        <w:tblPrEx>
          <w:tblCellMar>
            <w:top w:w="0" w:type="dxa"/>
            <w:left w:w="108" w:type="dxa"/>
            <w:bottom w:w="0" w:type="dxa"/>
            <w:right w:w="108" w:type="dxa"/>
          </w:tblCellMar>
        </w:tblPrEx>
        <w:trPr>
          <w:trHeight w:val="333" w:hRule="atLeast"/>
        </w:trPr>
        <w:tc>
          <w:tcPr>
            <w:tcW w:w="2500" w:type="pct"/>
            <w:tcBorders>
              <w:left w:val="single" w:color="000000" w:sz="4" w:space="0"/>
              <w:bottom w:val="single" w:color="000000" w:sz="4" w:space="0"/>
            </w:tcBorders>
          </w:tcPr>
          <w:p>
            <w:pPr>
              <w:snapToGrid w:val="0"/>
              <w:rPr>
                <w:rFonts w:cs="Tahoma"/>
                <w:highlight w:val="yellow"/>
              </w:rPr>
            </w:pPr>
            <w:r>
              <w:rPr>
                <w:rFonts w:cs="Tahoma"/>
              </w:rPr>
              <w:t>Многоквартирные дома</w:t>
            </w:r>
          </w:p>
        </w:tc>
        <w:tc>
          <w:tcPr>
            <w:tcW w:w="1250" w:type="pct"/>
            <w:tcBorders>
              <w:left w:val="single" w:color="000000" w:sz="4" w:space="0"/>
              <w:bottom w:val="single" w:color="000000" w:sz="4" w:space="0"/>
            </w:tcBorders>
          </w:tcPr>
          <w:p>
            <w:pPr>
              <w:snapToGrid w:val="0"/>
              <w:jc w:val="center"/>
              <w:rPr>
                <w:rFonts w:cs="Tahoma"/>
              </w:rPr>
            </w:pPr>
            <w:r>
              <w:rPr>
                <w:rFonts w:cs="Tahoma"/>
              </w:rPr>
              <w:t>шт./кв.</w:t>
            </w:r>
          </w:p>
        </w:tc>
        <w:tc>
          <w:tcPr>
            <w:tcW w:w="1250" w:type="pct"/>
            <w:tcBorders>
              <w:left w:val="single" w:color="000000" w:sz="4" w:space="0"/>
              <w:bottom w:val="single" w:color="000000" w:sz="4" w:space="0"/>
              <w:right w:val="single" w:color="000000" w:sz="4" w:space="0"/>
            </w:tcBorders>
          </w:tcPr>
          <w:p>
            <w:pPr>
              <w:snapToGrid w:val="0"/>
              <w:jc w:val="center"/>
              <w:rPr>
                <w:rFonts w:cs="Tahoma"/>
              </w:rPr>
            </w:pPr>
            <w:r>
              <w:rPr>
                <w:rFonts w:cs="Tahoma"/>
              </w:rPr>
              <w:t>12/26</w:t>
            </w:r>
          </w:p>
        </w:tc>
      </w:tr>
      <w:tr>
        <w:tblPrEx>
          <w:tblCellMar>
            <w:top w:w="0" w:type="dxa"/>
            <w:left w:w="108" w:type="dxa"/>
            <w:bottom w:w="0" w:type="dxa"/>
            <w:right w:w="108" w:type="dxa"/>
          </w:tblCellMar>
        </w:tblPrEx>
        <w:trPr>
          <w:trHeight w:val="318" w:hRule="atLeast"/>
        </w:trPr>
        <w:tc>
          <w:tcPr>
            <w:tcW w:w="2500" w:type="pct"/>
            <w:tcBorders>
              <w:left w:val="single" w:color="000000" w:sz="4" w:space="0"/>
              <w:bottom w:val="single" w:color="000000" w:sz="4" w:space="0"/>
            </w:tcBorders>
          </w:tcPr>
          <w:p>
            <w:pPr>
              <w:snapToGrid w:val="0"/>
              <w:rPr>
                <w:rFonts w:cs="Tahoma"/>
              </w:rPr>
            </w:pPr>
            <w:r>
              <w:rPr>
                <w:rFonts w:cs="Tahoma"/>
              </w:rPr>
              <w:t>Индивидуальные жилые дома</w:t>
            </w:r>
          </w:p>
        </w:tc>
        <w:tc>
          <w:tcPr>
            <w:tcW w:w="1250" w:type="pct"/>
            <w:tcBorders>
              <w:left w:val="single" w:color="000000" w:sz="4" w:space="0"/>
              <w:bottom w:val="single" w:color="000000" w:sz="4" w:space="0"/>
            </w:tcBorders>
          </w:tcPr>
          <w:p>
            <w:pPr>
              <w:snapToGrid w:val="0"/>
              <w:jc w:val="center"/>
              <w:rPr>
                <w:rFonts w:cs="Tahoma"/>
              </w:rPr>
            </w:pPr>
            <w:r>
              <w:rPr>
                <w:rFonts w:cs="Tahoma"/>
              </w:rPr>
              <w:t>шт.</w:t>
            </w:r>
          </w:p>
        </w:tc>
        <w:tc>
          <w:tcPr>
            <w:tcW w:w="1250" w:type="pct"/>
            <w:tcBorders>
              <w:left w:val="single" w:color="000000" w:sz="4" w:space="0"/>
              <w:bottom w:val="single" w:color="000000" w:sz="4" w:space="0"/>
              <w:right w:val="single" w:color="000000" w:sz="4" w:space="0"/>
            </w:tcBorders>
          </w:tcPr>
          <w:p>
            <w:pPr>
              <w:snapToGrid w:val="0"/>
              <w:jc w:val="center"/>
              <w:rPr>
                <w:rFonts w:cs="Tahoma"/>
              </w:rPr>
            </w:pPr>
            <w:r>
              <w:rPr>
                <w:rFonts w:cs="Tahoma"/>
              </w:rPr>
              <w:t>796</w:t>
            </w:r>
          </w:p>
        </w:tc>
      </w:tr>
      <w:tr>
        <w:tblPrEx>
          <w:tblCellMar>
            <w:top w:w="0" w:type="dxa"/>
            <w:left w:w="108" w:type="dxa"/>
            <w:bottom w:w="0" w:type="dxa"/>
            <w:right w:w="108" w:type="dxa"/>
          </w:tblCellMar>
        </w:tblPrEx>
        <w:trPr>
          <w:trHeight w:val="665" w:hRule="atLeast"/>
        </w:trPr>
        <w:tc>
          <w:tcPr>
            <w:tcW w:w="2500" w:type="pct"/>
            <w:tcBorders>
              <w:left w:val="single" w:color="000000" w:sz="4" w:space="0"/>
              <w:bottom w:val="single" w:color="000000" w:sz="4" w:space="0"/>
            </w:tcBorders>
          </w:tcPr>
          <w:p>
            <w:pPr>
              <w:snapToGrid w:val="0"/>
              <w:rPr>
                <w:rFonts w:cs="Tahoma"/>
              </w:rPr>
            </w:pPr>
            <w:r>
              <w:rPr>
                <w:rFonts w:cs="Tahoma"/>
              </w:rPr>
              <w:t>Количество м</w:t>
            </w:r>
            <w:r>
              <w:rPr>
                <w:rFonts w:cs="Tahoma"/>
                <w:vertAlign w:val="superscript"/>
              </w:rPr>
              <w:t>2</w:t>
            </w:r>
            <w:r>
              <w:rPr>
                <w:rFonts w:cs="Tahoma"/>
              </w:rPr>
              <w:t xml:space="preserve"> общей площади жилого фонда на 1 человека </w:t>
            </w:r>
          </w:p>
        </w:tc>
        <w:tc>
          <w:tcPr>
            <w:tcW w:w="1250" w:type="pct"/>
            <w:tcBorders>
              <w:left w:val="single" w:color="000000" w:sz="4" w:space="0"/>
              <w:bottom w:val="single" w:color="000000" w:sz="4" w:space="0"/>
            </w:tcBorders>
          </w:tcPr>
          <w:p>
            <w:pPr>
              <w:snapToGrid w:val="0"/>
              <w:jc w:val="center"/>
              <w:rPr>
                <w:rFonts w:cs="Tahoma"/>
              </w:rPr>
            </w:pPr>
          </w:p>
          <w:p>
            <w:pPr>
              <w:jc w:val="center"/>
              <w:rPr>
                <w:rFonts w:cs="Tahoma"/>
                <w:vertAlign w:val="superscript"/>
              </w:rPr>
            </w:pPr>
            <w:r>
              <w:rPr>
                <w:rFonts w:cs="Tahoma"/>
              </w:rPr>
              <w:t>м</w:t>
            </w:r>
            <w:r>
              <w:rPr>
                <w:rFonts w:cs="Tahoma"/>
                <w:vertAlign w:val="superscript"/>
              </w:rPr>
              <w:t>2</w:t>
            </w:r>
          </w:p>
        </w:tc>
        <w:tc>
          <w:tcPr>
            <w:tcW w:w="1250" w:type="pct"/>
            <w:tcBorders>
              <w:left w:val="single" w:color="000000" w:sz="4" w:space="0"/>
              <w:bottom w:val="single" w:color="000000" w:sz="4" w:space="0"/>
              <w:right w:val="single" w:color="000000" w:sz="4" w:space="0"/>
            </w:tcBorders>
          </w:tcPr>
          <w:p>
            <w:pPr>
              <w:jc w:val="center"/>
              <w:rPr>
                <w:rFonts w:cs="Tahoma"/>
              </w:rPr>
            </w:pPr>
          </w:p>
          <w:p>
            <w:pPr>
              <w:jc w:val="center"/>
              <w:rPr>
                <w:rFonts w:cs="Tahoma"/>
              </w:rPr>
            </w:pPr>
            <w:r>
              <w:rPr>
                <w:rFonts w:cs="Tahoma"/>
              </w:rPr>
              <w:t>19,3</w:t>
            </w:r>
          </w:p>
        </w:tc>
      </w:tr>
      <w:tr>
        <w:tblPrEx>
          <w:tblCellMar>
            <w:top w:w="0" w:type="dxa"/>
            <w:left w:w="108" w:type="dxa"/>
            <w:bottom w:w="0" w:type="dxa"/>
            <w:right w:w="108" w:type="dxa"/>
          </w:tblCellMar>
        </w:tblPrEx>
        <w:trPr>
          <w:trHeight w:val="372" w:hRule="atLeast"/>
        </w:trPr>
        <w:tc>
          <w:tcPr>
            <w:tcW w:w="2500" w:type="pct"/>
            <w:tcBorders>
              <w:left w:val="single" w:color="000000" w:sz="4" w:space="0"/>
              <w:bottom w:val="single" w:color="000000" w:sz="4" w:space="0"/>
            </w:tcBorders>
          </w:tcPr>
          <w:p>
            <w:pPr>
              <w:snapToGrid w:val="0"/>
              <w:rPr>
                <w:rFonts w:cs="Tahoma"/>
              </w:rPr>
            </w:pPr>
            <w:r>
              <w:rPr>
                <w:rFonts w:cs="Tahoma"/>
              </w:rPr>
              <w:t>Техническое состояние жилого фонда:</w:t>
            </w:r>
          </w:p>
          <w:p>
            <w:pPr>
              <w:rPr>
                <w:rFonts w:cs="Tahoma"/>
              </w:rPr>
            </w:pPr>
            <w:r>
              <w:rPr>
                <w:rFonts w:cs="Tahoma"/>
              </w:rPr>
              <w:t>-удовлетворительное</w:t>
            </w:r>
          </w:p>
          <w:p>
            <w:pPr>
              <w:rPr>
                <w:rFonts w:cs="Tahoma"/>
                <w:highlight w:val="yellow"/>
              </w:rPr>
            </w:pPr>
            <w:r>
              <w:rPr>
                <w:rFonts w:cs="Tahoma"/>
              </w:rPr>
              <w:t>-ветхое</w:t>
            </w:r>
          </w:p>
        </w:tc>
        <w:tc>
          <w:tcPr>
            <w:tcW w:w="1250" w:type="pct"/>
            <w:tcBorders>
              <w:left w:val="single" w:color="000000" w:sz="4" w:space="0"/>
              <w:bottom w:val="single" w:color="000000" w:sz="4" w:space="0"/>
            </w:tcBorders>
          </w:tcPr>
          <w:p>
            <w:pPr>
              <w:snapToGrid w:val="0"/>
              <w:jc w:val="center"/>
              <w:rPr>
                <w:rFonts w:cs="Tahoma"/>
                <w:highlight w:val="yellow"/>
              </w:rPr>
            </w:pPr>
          </w:p>
          <w:p>
            <w:pPr>
              <w:jc w:val="center"/>
              <w:rPr>
                <w:rFonts w:cs="Tahoma"/>
              </w:rPr>
            </w:pPr>
            <w:r>
              <w:rPr>
                <w:rFonts w:cs="Tahoma"/>
              </w:rPr>
              <w:t>домов/м</w:t>
            </w:r>
            <w:r>
              <w:rPr>
                <w:rFonts w:cs="Tahoma"/>
                <w:vertAlign w:val="superscript"/>
              </w:rPr>
              <w:t>2</w:t>
            </w:r>
          </w:p>
          <w:p>
            <w:pPr>
              <w:jc w:val="center"/>
              <w:rPr>
                <w:rFonts w:cs="Tahoma"/>
                <w:highlight w:val="yellow"/>
              </w:rPr>
            </w:pPr>
            <w:r>
              <w:rPr>
                <w:rFonts w:cs="Tahoma"/>
              </w:rPr>
              <w:t>домов/м</w:t>
            </w:r>
            <w:r>
              <w:rPr>
                <w:rFonts w:cs="Tahoma"/>
                <w:vertAlign w:val="superscript"/>
              </w:rPr>
              <w:t>2</w:t>
            </w:r>
          </w:p>
        </w:tc>
        <w:tc>
          <w:tcPr>
            <w:tcW w:w="1250" w:type="pct"/>
            <w:tcBorders>
              <w:left w:val="single" w:color="000000" w:sz="4" w:space="0"/>
              <w:bottom w:val="single" w:color="000000" w:sz="4" w:space="0"/>
              <w:right w:val="single" w:color="000000" w:sz="4" w:space="0"/>
            </w:tcBorders>
          </w:tcPr>
          <w:p>
            <w:pPr>
              <w:snapToGrid w:val="0"/>
              <w:jc w:val="center"/>
              <w:rPr>
                <w:rFonts w:cs="Tahoma"/>
                <w:highlight w:val="yellow"/>
              </w:rPr>
            </w:pPr>
          </w:p>
          <w:p>
            <w:pPr>
              <w:jc w:val="center"/>
              <w:rPr>
                <w:rFonts w:cs="Tahoma"/>
              </w:rPr>
            </w:pPr>
            <w:r>
              <w:rPr>
                <w:rFonts w:cs="Tahoma"/>
              </w:rPr>
              <w:t>761/37403,3</w:t>
            </w:r>
          </w:p>
          <w:p>
            <w:pPr>
              <w:jc w:val="center"/>
              <w:rPr>
                <w:rFonts w:cs="Tahoma"/>
                <w:highlight w:val="yellow"/>
              </w:rPr>
            </w:pPr>
            <w:r>
              <w:rPr>
                <w:rFonts w:cs="Tahoma"/>
              </w:rPr>
              <w:t>47/2495,7</w:t>
            </w:r>
          </w:p>
        </w:tc>
      </w:tr>
    </w:tbl>
    <w:p>
      <w:pPr>
        <w:suppressAutoHyphens/>
        <w:spacing w:before="120" w:after="0" w:line="360" w:lineRule="auto"/>
        <w:ind w:firstLine="708"/>
        <w:jc w:val="both"/>
        <w:rPr>
          <w:lang w:eastAsia="ru-RU"/>
        </w:rPr>
      </w:pPr>
      <w:r>
        <w:rPr>
          <w:lang w:eastAsia="ru-RU"/>
        </w:rPr>
        <w:t>Численность населения села Ейское Укрепление по состоянию на 01.01.2020 г. составляла 2071 человек, общая площадь жилого фонда – 39,9 тыс.м</w:t>
      </w:r>
      <w:r>
        <w:rPr>
          <w:vertAlign w:val="superscript"/>
          <w:lang w:eastAsia="ru-RU"/>
        </w:rPr>
        <w:t>2</w:t>
      </w:r>
      <w:r>
        <w:rPr>
          <w:lang w:eastAsia="ru-RU"/>
        </w:rPr>
        <w:t>. Таким образом уровень обеспеченности населения жилым фондом составляет 19,3 м</w:t>
      </w:r>
      <w:r>
        <w:rPr>
          <w:vertAlign w:val="superscript"/>
          <w:lang w:eastAsia="ru-RU"/>
        </w:rPr>
        <w:t>2</w:t>
      </w:r>
      <w:r>
        <w:rPr>
          <w:lang w:eastAsia="ru-RU"/>
        </w:rPr>
        <w:t>/чел.</w:t>
      </w:r>
    </w:p>
    <w:p>
      <w:pPr>
        <w:suppressAutoHyphens/>
        <w:spacing w:before="120" w:after="0" w:line="360" w:lineRule="auto"/>
        <w:ind w:firstLine="708"/>
        <w:jc w:val="both"/>
        <w:rPr>
          <w:lang w:eastAsia="ru-RU"/>
        </w:rPr>
      </w:pPr>
      <w:r>
        <w:rPr>
          <w:lang w:eastAsia="ru-RU"/>
        </w:rPr>
        <w:t>Ветхий жилой фонд составляет 47 домов или 47 х 3 х 19,3 = 2721,3 м</w:t>
      </w:r>
      <w:r>
        <w:rPr>
          <w:vertAlign w:val="superscript"/>
          <w:lang w:eastAsia="ru-RU"/>
        </w:rPr>
        <w:t>2</w:t>
      </w:r>
      <w:r>
        <w:rPr>
          <w:lang w:eastAsia="ru-RU"/>
        </w:rPr>
        <w:t>.</w:t>
      </w:r>
    </w:p>
    <w:p>
      <w:pPr>
        <w:pStyle w:val="183"/>
        <w:keepNext/>
        <w:shd w:val="clear" w:color="auto" w:fill="FFFFFF"/>
        <w:spacing w:before="0" w:beforeAutospacing="0" w:after="0" w:afterAutospacing="0" w:line="360" w:lineRule="auto"/>
        <w:ind w:firstLine="851"/>
        <w:contextualSpacing/>
        <w:jc w:val="center"/>
        <w:rPr>
          <w:b/>
          <w:sz w:val="26"/>
          <w:szCs w:val="26"/>
        </w:rPr>
      </w:pPr>
      <w:r>
        <w:rPr>
          <w:b/>
          <w:sz w:val="26"/>
          <w:szCs w:val="26"/>
        </w:rPr>
        <w:t>Проектные предложения</w:t>
      </w:r>
    </w:p>
    <w:p>
      <w:pPr>
        <w:suppressAutoHyphens/>
        <w:spacing w:before="120" w:after="0" w:line="360" w:lineRule="auto"/>
        <w:ind w:firstLine="708"/>
        <w:jc w:val="both"/>
        <w:rPr>
          <w:lang w:eastAsia="ru-RU"/>
        </w:rPr>
      </w:pPr>
      <w:r>
        <w:rPr>
          <w:lang w:eastAsia="ru-RU"/>
        </w:rPr>
        <w:t>В целях разработки и реализации мероприятий, направленных на развитие жилищного строительства и обеспечения граждан доступным жильем подготовлен инвестиционный проект по развитию жилищного строительства в селе Ейское Укрепление.</w:t>
      </w:r>
    </w:p>
    <w:p>
      <w:pPr>
        <w:suppressAutoHyphens/>
        <w:spacing w:before="120" w:after="0" w:line="360" w:lineRule="auto"/>
        <w:ind w:firstLine="708"/>
        <w:jc w:val="both"/>
        <w:rPr>
          <w:lang w:eastAsia="ru-RU"/>
        </w:rPr>
      </w:pPr>
      <w:r>
        <w:rPr>
          <w:lang w:eastAsia="ru-RU"/>
        </w:rPr>
        <w:t>Проектная организация жилой зоны основывается на следующих основных задачах:</w:t>
      </w:r>
    </w:p>
    <w:p>
      <w:pPr>
        <w:pStyle w:val="147"/>
        <w:numPr>
          <w:ilvl w:val="0"/>
          <w:numId w:val="25"/>
        </w:numPr>
        <w:suppressAutoHyphens/>
        <w:spacing w:after="0" w:line="360" w:lineRule="auto"/>
        <w:jc w:val="both"/>
      </w:pPr>
      <w:r>
        <w:t>упорядочение существующей планировочной структуры;</w:t>
      </w:r>
    </w:p>
    <w:p>
      <w:pPr>
        <w:pStyle w:val="147"/>
        <w:numPr>
          <w:ilvl w:val="0"/>
          <w:numId w:val="25"/>
        </w:numPr>
        <w:suppressAutoHyphens/>
        <w:spacing w:after="0" w:line="360" w:lineRule="auto"/>
        <w:jc w:val="both"/>
      </w:pPr>
      <w:r>
        <w:t>функциональное зонирование;</w:t>
      </w:r>
    </w:p>
    <w:p>
      <w:pPr>
        <w:pStyle w:val="147"/>
        <w:numPr>
          <w:ilvl w:val="0"/>
          <w:numId w:val="25"/>
        </w:numPr>
        <w:suppressAutoHyphens/>
        <w:spacing w:after="0" w:line="360" w:lineRule="auto"/>
        <w:jc w:val="both"/>
      </w:pPr>
      <w:r>
        <w:t>выбор направления территориального развития.</w:t>
      </w:r>
    </w:p>
    <w:p>
      <w:pPr>
        <w:spacing w:after="0" w:line="360" w:lineRule="auto"/>
        <w:ind w:firstLine="851"/>
        <w:jc w:val="both"/>
      </w:pPr>
      <w:r>
        <w:t>Главной задачей жилищной политики является обеспечение комфортных условий проживания для различных категорий граждан.</w:t>
      </w:r>
    </w:p>
    <w:p>
      <w:pPr>
        <w:spacing w:after="0" w:line="360" w:lineRule="auto"/>
        <w:ind w:firstLine="851"/>
        <w:jc w:val="both"/>
      </w:pPr>
      <w:r>
        <w:t>Для решения этой задачи Генеральным планом к 2040 году предлагается:</w:t>
      </w:r>
    </w:p>
    <w:p>
      <w:pPr>
        <w:pStyle w:val="147"/>
        <w:numPr>
          <w:ilvl w:val="0"/>
          <w:numId w:val="25"/>
        </w:numPr>
        <w:suppressAutoHyphens/>
        <w:spacing w:after="0" w:line="360" w:lineRule="auto"/>
        <w:jc w:val="both"/>
      </w:pPr>
      <w:r>
        <w:t>довести среднюю обеспеченность жилищным фондом до 24,0 м</w:t>
      </w:r>
      <w:r>
        <w:rPr>
          <w:vertAlign w:val="superscript"/>
        </w:rPr>
        <w:t>2</w:t>
      </w:r>
      <w:r>
        <w:t xml:space="preserve"> общей площади на человека;</w:t>
      </w:r>
    </w:p>
    <w:p>
      <w:pPr>
        <w:pStyle w:val="147"/>
        <w:numPr>
          <w:ilvl w:val="0"/>
          <w:numId w:val="25"/>
        </w:numPr>
        <w:suppressAutoHyphens/>
        <w:spacing w:after="0" w:line="360" w:lineRule="auto"/>
        <w:jc w:val="both"/>
      </w:pPr>
      <w:r>
        <w:t>снести ветхий и аварийный жилищный фонд;</w:t>
      </w:r>
    </w:p>
    <w:p>
      <w:pPr>
        <w:pStyle w:val="147"/>
        <w:numPr>
          <w:ilvl w:val="0"/>
          <w:numId w:val="25"/>
        </w:numPr>
        <w:suppressAutoHyphens/>
        <w:spacing w:after="0" w:line="360" w:lineRule="auto"/>
        <w:jc w:val="both"/>
      </w:pPr>
      <w:r>
        <w:t>осуществить строительство нового жилья на свободных территориях;</w:t>
      </w:r>
    </w:p>
    <w:p>
      <w:pPr>
        <w:pStyle w:val="147"/>
        <w:numPr>
          <w:ilvl w:val="0"/>
          <w:numId w:val="25"/>
        </w:numPr>
        <w:suppressAutoHyphens/>
        <w:spacing w:after="0" w:line="360" w:lineRule="auto"/>
        <w:jc w:val="both"/>
      </w:pPr>
      <w:r>
        <w:t>расселить население, проживающее в санитарно-защитных зонах;</w:t>
      </w:r>
    </w:p>
    <w:p>
      <w:pPr>
        <w:pStyle w:val="147"/>
        <w:numPr>
          <w:ilvl w:val="0"/>
          <w:numId w:val="25"/>
        </w:numPr>
        <w:suppressAutoHyphens/>
        <w:spacing w:after="0" w:line="360" w:lineRule="auto"/>
        <w:jc w:val="both"/>
      </w:pPr>
      <w:r>
        <w:t>осуществлять строительство технологичного жилья;</w:t>
      </w:r>
    </w:p>
    <w:p>
      <w:pPr>
        <w:pStyle w:val="147"/>
        <w:numPr>
          <w:ilvl w:val="0"/>
          <w:numId w:val="25"/>
        </w:numPr>
        <w:suppressAutoHyphens/>
        <w:spacing w:after="0" w:line="360" w:lineRule="auto"/>
        <w:jc w:val="both"/>
      </w:pPr>
      <w:r>
        <w:t>развивать ипотечное жилищное кредитование;</w:t>
      </w:r>
    </w:p>
    <w:p>
      <w:pPr>
        <w:pStyle w:val="147"/>
        <w:numPr>
          <w:ilvl w:val="0"/>
          <w:numId w:val="25"/>
        </w:numPr>
        <w:suppressAutoHyphens/>
        <w:spacing w:after="0" w:line="360" w:lineRule="auto"/>
        <w:jc w:val="both"/>
      </w:pPr>
      <w:r>
        <w:t xml:space="preserve">обеспечить жилыми помещениями отдельные категории населения и малоимущих граждан;  </w:t>
      </w:r>
    </w:p>
    <w:p>
      <w:pPr>
        <w:pStyle w:val="147"/>
        <w:numPr>
          <w:ilvl w:val="0"/>
          <w:numId w:val="25"/>
        </w:numPr>
        <w:suppressAutoHyphens/>
        <w:spacing w:after="0" w:line="360" w:lineRule="auto"/>
        <w:jc w:val="both"/>
      </w:pPr>
      <w:r>
        <w:t>обеспечить объектами инженерной и коммунальной инфраструктуры территории под жилищное строительство</w:t>
      </w:r>
    </w:p>
    <w:p>
      <w:pPr>
        <w:suppressAutoHyphens/>
        <w:spacing w:after="0" w:line="360" w:lineRule="auto"/>
        <w:jc w:val="both"/>
      </w:pPr>
    </w:p>
    <w:p>
      <w:pPr>
        <w:jc w:val="center"/>
        <w:rPr>
          <w:b/>
          <w:bCs/>
        </w:rPr>
      </w:pPr>
      <w:r>
        <w:rPr>
          <w:b/>
          <w:bCs/>
        </w:rPr>
        <w:t>Расчет объемов нового строительства</w:t>
      </w:r>
    </w:p>
    <w:p>
      <w:pPr>
        <w:numPr>
          <w:ilvl w:val="0"/>
          <w:numId w:val="28"/>
        </w:numPr>
        <w:tabs>
          <w:tab w:val="left" w:pos="0"/>
        </w:tabs>
        <w:spacing w:after="0" w:line="360" w:lineRule="auto"/>
        <w:ind w:left="786" w:firstLine="851"/>
        <w:jc w:val="both"/>
      </w:pPr>
      <w:r>
        <w:t>Существующий жилищный фонд – 39,9 тыс.м</w:t>
      </w:r>
      <w:r>
        <w:rPr>
          <w:vertAlign w:val="superscript"/>
        </w:rPr>
        <w:t>2</w:t>
      </w:r>
      <w:r>
        <w:t xml:space="preserve"> общей площади.</w:t>
      </w:r>
    </w:p>
    <w:p>
      <w:pPr>
        <w:numPr>
          <w:ilvl w:val="0"/>
          <w:numId w:val="28"/>
        </w:numPr>
        <w:tabs>
          <w:tab w:val="left" w:pos="0"/>
        </w:tabs>
        <w:spacing w:after="0" w:line="360" w:lineRule="auto"/>
        <w:ind w:left="786" w:firstLine="851"/>
        <w:jc w:val="both"/>
      </w:pPr>
      <w:r>
        <w:t>Существующий сохраняемый жилищный – 39,9 тыс.м</w:t>
      </w:r>
      <w:r>
        <w:rPr>
          <w:vertAlign w:val="superscript"/>
        </w:rPr>
        <w:t>2</w:t>
      </w:r>
      <w:r>
        <w:t xml:space="preserve"> общей площади.</w:t>
      </w:r>
    </w:p>
    <w:p>
      <w:pPr>
        <w:numPr>
          <w:ilvl w:val="0"/>
          <w:numId w:val="28"/>
        </w:numPr>
        <w:spacing w:after="0" w:line="360" w:lineRule="auto"/>
        <w:ind w:left="786" w:firstLine="851"/>
        <w:jc w:val="both"/>
      </w:pPr>
      <w:r>
        <w:t>Потребность в жилищном фонде на расчетный срок – 2477 х 24,0= 59459 м</w:t>
      </w:r>
      <w:r>
        <w:rPr>
          <w:vertAlign w:val="superscript"/>
        </w:rPr>
        <w:t>2</w:t>
      </w:r>
      <w:r>
        <w:t xml:space="preserve"> общей площади.</w:t>
      </w:r>
    </w:p>
    <w:p>
      <w:pPr>
        <w:spacing w:after="0" w:line="360" w:lineRule="auto"/>
        <w:ind w:left="851"/>
        <w:jc w:val="both"/>
      </w:pPr>
      <w:r>
        <w:t>где: 2477 – численность населения на 01.01.2040 г., человек; 24,0 – перспективная обеспеченность населения жилищным фондом в м</w:t>
      </w:r>
      <w:r>
        <w:rPr>
          <w:vertAlign w:val="superscript"/>
        </w:rPr>
        <w:t>2</w:t>
      </w:r>
      <w:r>
        <w:t>/чел.</w:t>
      </w:r>
    </w:p>
    <w:p>
      <w:pPr>
        <w:numPr>
          <w:ilvl w:val="0"/>
          <w:numId w:val="28"/>
        </w:numPr>
        <w:spacing w:after="0" w:line="360" w:lineRule="auto"/>
        <w:ind w:left="786" w:firstLine="851"/>
        <w:jc w:val="both"/>
      </w:pPr>
      <w:r>
        <w:t>Объем нового жилищного строительства – 59459 – 39900 = 19559 м</w:t>
      </w:r>
      <w:r>
        <w:rPr>
          <w:vertAlign w:val="superscript"/>
        </w:rPr>
        <w:t>2</w:t>
      </w:r>
      <w:r>
        <w:t xml:space="preserve"> общей     площади.</w:t>
      </w:r>
    </w:p>
    <w:p>
      <w:pPr>
        <w:jc w:val="center"/>
        <w:rPr>
          <w:b/>
          <w:bCs/>
        </w:rPr>
      </w:pPr>
      <w:r>
        <w:rPr>
          <w:b/>
          <w:bCs/>
        </w:rPr>
        <w:t>Движение жилищного фонда</w:t>
      </w:r>
    </w:p>
    <w:p>
      <w:pPr>
        <w:pStyle w:val="79"/>
        <w:suppressAutoHyphens/>
        <w:spacing w:before="0" w:beforeAutospacing="0" w:after="0" w:afterAutospacing="0" w:line="360" w:lineRule="auto"/>
        <w:ind w:firstLine="851"/>
        <w:jc w:val="both"/>
      </w:pPr>
      <w:r>
        <w:t>Обеспеченность жилой площадью на одного человека в поселении на 01.01.2020 г. составляет 19,3 м</w:t>
      </w:r>
      <w:r>
        <w:rPr>
          <w:vertAlign w:val="superscript"/>
        </w:rPr>
        <w:t>2</w:t>
      </w:r>
      <w:r>
        <w:t xml:space="preserve"> на человека. Движение жилищного фонда с 01.01.2020 по 31.12.2040 г.  представлено в таблице 10.</w:t>
      </w:r>
    </w:p>
    <w:p>
      <w:pPr>
        <w:pStyle w:val="79"/>
        <w:suppressAutoHyphens/>
        <w:spacing w:before="0" w:beforeAutospacing="0" w:after="0" w:afterAutospacing="0" w:line="360" w:lineRule="auto"/>
        <w:ind w:firstLine="851"/>
        <w:jc w:val="both"/>
      </w:pPr>
    </w:p>
    <w:p>
      <w:pPr>
        <w:spacing w:line="240" w:lineRule="auto"/>
        <w:jc w:val="center"/>
        <w:rPr>
          <w:b/>
          <w:bCs/>
        </w:rPr>
      </w:pPr>
      <w:r>
        <w:rPr>
          <w:b/>
          <w:bCs/>
        </w:rPr>
        <w:t>Движение жилищного фонда с.Ейское Укрепление</w:t>
      </w:r>
    </w:p>
    <w:p>
      <w:pPr>
        <w:pStyle w:val="147"/>
        <w:numPr>
          <w:ilvl w:val="0"/>
          <w:numId w:val="23"/>
        </w:numPr>
        <w:ind w:right="142"/>
        <w:jc w:val="right"/>
        <w:rPr>
          <w:b/>
          <w:bCs/>
        </w:rPr>
      </w:pPr>
      <w:r>
        <w:rPr>
          <w:b/>
          <w:bCs/>
        </w:rPr>
        <w:t>Таблица 10</w:t>
      </w:r>
    </w:p>
    <w:tbl>
      <w:tblPr>
        <w:tblStyle w:val="12"/>
        <w:tblW w:w="5000" w:type="pct"/>
        <w:tblInd w:w="0" w:type="dxa"/>
        <w:tblLayout w:type="autofit"/>
        <w:tblCellMar>
          <w:top w:w="0" w:type="dxa"/>
          <w:left w:w="108" w:type="dxa"/>
          <w:bottom w:w="0" w:type="dxa"/>
          <w:right w:w="108" w:type="dxa"/>
        </w:tblCellMar>
      </w:tblPr>
      <w:tblGrid>
        <w:gridCol w:w="632"/>
        <w:gridCol w:w="3181"/>
        <w:gridCol w:w="1543"/>
        <w:gridCol w:w="1461"/>
        <w:gridCol w:w="1203"/>
        <w:gridCol w:w="980"/>
        <w:gridCol w:w="1422"/>
      </w:tblGrid>
      <w:tr>
        <w:tblPrEx>
          <w:tblCellMar>
            <w:top w:w="0" w:type="dxa"/>
            <w:left w:w="108" w:type="dxa"/>
            <w:bottom w:w="0" w:type="dxa"/>
            <w:right w:w="108" w:type="dxa"/>
          </w:tblCellMar>
        </w:tblPrEx>
        <w:trPr>
          <w:trHeight w:val="1020" w:hRule="atLeast"/>
        </w:trPr>
        <w:tc>
          <w:tcPr>
            <w:tcW w:w="303" w:type="pc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 п/п</w:t>
            </w:r>
          </w:p>
        </w:tc>
        <w:tc>
          <w:tcPr>
            <w:tcW w:w="1526"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Наименование</w:t>
            </w:r>
          </w:p>
        </w:tc>
        <w:tc>
          <w:tcPr>
            <w:tcW w:w="740"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Единица измерения</w:t>
            </w:r>
          </w:p>
        </w:tc>
        <w:tc>
          <w:tcPr>
            <w:tcW w:w="701"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На 01.01.2020 г.</w:t>
            </w:r>
          </w:p>
        </w:tc>
        <w:tc>
          <w:tcPr>
            <w:tcW w:w="577"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I очередь (2020-2030 г.)</w:t>
            </w:r>
          </w:p>
        </w:tc>
        <w:tc>
          <w:tcPr>
            <w:tcW w:w="470"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2030 -2040 г.</w:t>
            </w:r>
          </w:p>
        </w:tc>
        <w:tc>
          <w:tcPr>
            <w:tcW w:w="682"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Всего за период с 2020 по 2040 г.</w:t>
            </w:r>
          </w:p>
        </w:tc>
      </w:tr>
      <w:tr>
        <w:tblPrEx>
          <w:tblCellMar>
            <w:top w:w="0" w:type="dxa"/>
            <w:left w:w="108" w:type="dxa"/>
            <w:bottom w:w="0" w:type="dxa"/>
            <w:right w:w="108" w:type="dxa"/>
          </w:tblCellMar>
        </w:tblPrEx>
        <w:trPr>
          <w:trHeight w:val="510"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Численность постоянного населения</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чел.</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2 071</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2 265</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2 477</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r>
      <w:tr>
        <w:tblPrEx>
          <w:tblCellMar>
            <w:top w:w="0" w:type="dxa"/>
            <w:left w:w="108" w:type="dxa"/>
            <w:bottom w:w="0" w:type="dxa"/>
            <w:right w:w="108" w:type="dxa"/>
          </w:tblCellMar>
        </w:tblPrEx>
        <w:trPr>
          <w:trHeight w:val="510"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Средняя обеспеченность жилищным фондом</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r>
              <w:rPr>
                <w:rFonts w:eastAsia="Times New Roman"/>
                <w:kern w:val="0"/>
                <w:lang w:eastAsia="ru-RU"/>
              </w:rPr>
              <w:t>/чел</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19,3</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24,0</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24,0</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r>
      <w:tr>
        <w:tblPrEx>
          <w:tblCellMar>
            <w:top w:w="0" w:type="dxa"/>
            <w:left w:w="108" w:type="dxa"/>
            <w:bottom w:w="0" w:type="dxa"/>
            <w:right w:w="108" w:type="dxa"/>
          </w:tblCellMar>
        </w:tblPrEx>
        <w:trPr>
          <w:trHeight w:val="315"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Жилищный фонд на 01.01.2020 г.</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39 900</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r>
      <w:tr>
        <w:tblPrEx>
          <w:tblCellMar>
            <w:top w:w="0" w:type="dxa"/>
            <w:left w:w="108" w:type="dxa"/>
            <w:bottom w:w="0" w:type="dxa"/>
            <w:right w:w="108" w:type="dxa"/>
          </w:tblCellMar>
        </w:tblPrEx>
        <w:trPr>
          <w:trHeight w:val="510"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Убыль жилищного фонда</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0</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0</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0</w:t>
            </w:r>
          </w:p>
        </w:tc>
      </w:tr>
      <w:tr>
        <w:tblPrEx>
          <w:tblCellMar>
            <w:top w:w="0" w:type="dxa"/>
            <w:left w:w="108" w:type="dxa"/>
            <w:bottom w:w="0" w:type="dxa"/>
            <w:right w:w="108" w:type="dxa"/>
          </w:tblCellMar>
        </w:tblPrEx>
        <w:trPr>
          <w:trHeight w:val="510"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Существующий сохраняемый жилищный фонд</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39 900</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54 363</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r>
      <w:tr>
        <w:tblPrEx>
          <w:tblCellMar>
            <w:top w:w="0" w:type="dxa"/>
            <w:left w:w="108" w:type="dxa"/>
            <w:bottom w:w="0" w:type="dxa"/>
            <w:right w:w="108" w:type="dxa"/>
          </w:tblCellMar>
        </w:tblPrEx>
        <w:trPr>
          <w:trHeight w:val="315"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6</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 xml:space="preserve">Объемы нового строительства </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14 463</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5 096</w:t>
            </w:r>
          </w:p>
        </w:tc>
        <w:tc>
          <w:tcPr>
            <w:tcW w:w="682" w:type="pct"/>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eastAsia="Times New Roman"/>
                <w:b/>
                <w:bCs/>
                <w:kern w:val="0"/>
                <w:lang w:eastAsia="ru-RU"/>
              </w:rPr>
            </w:pPr>
            <w:r>
              <w:rPr>
                <w:rFonts w:eastAsia="Times New Roman"/>
                <w:b/>
                <w:bCs/>
                <w:kern w:val="0"/>
                <w:lang w:eastAsia="ru-RU"/>
              </w:rPr>
              <w:t>19 559</w:t>
            </w:r>
          </w:p>
        </w:tc>
      </w:tr>
      <w:tr>
        <w:tblPrEx>
          <w:tblCellMar>
            <w:top w:w="0" w:type="dxa"/>
            <w:left w:w="108" w:type="dxa"/>
            <w:bottom w:w="0" w:type="dxa"/>
            <w:right w:w="108" w:type="dxa"/>
          </w:tblCellMar>
        </w:tblPrEx>
        <w:trPr>
          <w:trHeight w:val="315" w:hRule="atLeast"/>
        </w:trPr>
        <w:tc>
          <w:tcPr>
            <w:tcW w:w="303"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7</w:t>
            </w:r>
          </w:p>
        </w:tc>
        <w:tc>
          <w:tcPr>
            <w:tcW w:w="1526"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Жилищный фонд к концу периода</w:t>
            </w:r>
          </w:p>
        </w:tc>
        <w:tc>
          <w:tcPr>
            <w:tcW w:w="74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2</w:t>
            </w:r>
          </w:p>
        </w:tc>
        <w:tc>
          <w:tcPr>
            <w:tcW w:w="70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c>
          <w:tcPr>
            <w:tcW w:w="57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54 363</w:t>
            </w:r>
          </w:p>
        </w:tc>
        <w:tc>
          <w:tcPr>
            <w:tcW w:w="47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59 459</w:t>
            </w:r>
          </w:p>
        </w:tc>
        <w:tc>
          <w:tcPr>
            <w:tcW w:w="6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Х</w:t>
            </w:r>
          </w:p>
        </w:tc>
      </w:tr>
    </w:tbl>
    <w:p>
      <w:pPr>
        <w:suppressAutoHyphens/>
        <w:spacing w:before="120" w:after="0" w:line="360" w:lineRule="auto"/>
        <w:ind w:firstLine="708"/>
        <w:jc w:val="both"/>
        <w:rPr>
          <w:lang w:eastAsia="ru-RU"/>
        </w:rPr>
      </w:pPr>
    </w:p>
    <w:p>
      <w:pPr>
        <w:pStyle w:val="79"/>
        <w:suppressAutoHyphens/>
        <w:spacing w:before="0" w:beforeAutospacing="0" w:after="0" w:afterAutospacing="0" w:line="360" w:lineRule="auto"/>
        <w:ind w:firstLine="851"/>
        <w:jc w:val="both"/>
      </w:pPr>
      <w:r>
        <w:t xml:space="preserve">Присоединение земель в восточной части села будет происходить по мере востребованности за счет площадей, используемых в сельскохозяйственном обороте администрацией муниципального образования Ейскоукрепленское сельское поселение и СПК (колхоз) «Лиманский». </w:t>
      </w:r>
    </w:p>
    <w:p>
      <w:pPr>
        <w:pStyle w:val="79"/>
        <w:suppressAutoHyphens/>
        <w:spacing w:before="0" w:beforeAutospacing="0" w:after="0" w:afterAutospacing="0" w:line="360" w:lineRule="auto"/>
        <w:ind w:firstLine="851"/>
        <w:jc w:val="both"/>
      </w:pPr>
      <w:r>
        <w:t>При расселении жителей на расчетный срок за основу приняты следующие положения:</w:t>
      </w:r>
    </w:p>
    <w:p>
      <w:pPr>
        <w:pStyle w:val="147"/>
        <w:numPr>
          <w:ilvl w:val="0"/>
          <w:numId w:val="25"/>
        </w:numPr>
        <w:suppressAutoHyphens/>
        <w:spacing w:after="0" w:line="360" w:lineRule="auto"/>
        <w:jc w:val="both"/>
      </w:pPr>
      <w:r>
        <w:t>перспективное жилищное строительство предусматривается частично на землях, в настоящее время находящихся в ведении администрации муниципального образования Ейскоукрепленское сельское поселение и СПК (колхоз) «Лиманский», расположенных к востоку от села в сторону села Екатериновка. Эти территории могут и далее использоваться в целях ведения сельского хозяйства до момента их востребованности для жилищного строительства;</w:t>
      </w:r>
    </w:p>
    <w:p>
      <w:pPr>
        <w:pStyle w:val="147"/>
        <w:numPr>
          <w:ilvl w:val="0"/>
          <w:numId w:val="25"/>
        </w:numPr>
        <w:suppressAutoHyphens/>
        <w:spacing w:after="0" w:line="360" w:lineRule="auto"/>
        <w:jc w:val="both"/>
      </w:pPr>
      <w:r>
        <w:t>проектируемая жилая застройка представлена тремя типами домов: малоэтажная застройка секционного типа, блокированная застройка типа «таун-хауз» и индивидуальная коттеджная застройка;</w:t>
      </w:r>
    </w:p>
    <w:p>
      <w:pPr>
        <w:pStyle w:val="147"/>
        <w:numPr>
          <w:ilvl w:val="0"/>
          <w:numId w:val="25"/>
        </w:numPr>
        <w:suppressAutoHyphens/>
        <w:spacing w:after="0" w:line="360" w:lineRule="auto"/>
        <w:jc w:val="both"/>
      </w:pPr>
      <w:r>
        <w:t>застройка более высокой плотности предусмотрена на земельных участках в центральной части жилого массива и на территориях вокруг центров обслуживания (размеры земельных участков для жилищного строительства и личного подсобного хозяйства устанавливаются администрацией поселения).</w:t>
      </w:r>
    </w:p>
    <w:p>
      <w:pPr>
        <w:pStyle w:val="3"/>
        <w:keepLines/>
        <w:numPr>
          <w:ilvl w:val="1"/>
          <w:numId w:val="29"/>
        </w:numPr>
        <w:suppressAutoHyphens/>
        <w:spacing w:before="480" w:after="360" w:line="360" w:lineRule="auto"/>
        <w:ind w:left="0" w:firstLine="0"/>
        <w:jc w:val="center"/>
        <w:rPr>
          <w:rFonts w:ascii="Times New Roman" w:hAnsi="Times New Roman"/>
          <w:i w:val="0"/>
          <w:sz w:val="30"/>
          <w:szCs w:val="30"/>
        </w:rPr>
      </w:pPr>
      <w:bookmarkStart w:id="76" w:name="_Toc247965271"/>
      <w:bookmarkStart w:id="77" w:name="_Toc268263639"/>
      <w:bookmarkStart w:id="78" w:name="_Toc342472319"/>
      <w:bookmarkStart w:id="79" w:name="_Toc57203198"/>
      <w:r>
        <w:rPr>
          <w:rFonts w:ascii="Times New Roman" w:hAnsi="Times New Roman"/>
          <w:i w:val="0"/>
          <w:sz w:val="30"/>
          <w:szCs w:val="30"/>
        </w:rPr>
        <w:t>Система культурно-бытового обслуживани</w:t>
      </w:r>
      <w:bookmarkEnd w:id="76"/>
      <w:r>
        <w:rPr>
          <w:rFonts w:ascii="Times New Roman" w:hAnsi="Times New Roman"/>
          <w:i w:val="0"/>
          <w:sz w:val="30"/>
          <w:szCs w:val="30"/>
        </w:rPr>
        <w:t>я</w:t>
      </w:r>
      <w:bookmarkEnd w:id="77"/>
      <w:bookmarkEnd w:id="78"/>
      <w:bookmarkEnd w:id="79"/>
    </w:p>
    <w:p>
      <w:pPr>
        <w:pStyle w:val="79"/>
        <w:suppressAutoHyphens/>
        <w:spacing w:before="0" w:beforeAutospacing="0" w:after="0" w:afterAutospacing="0" w:line="360" w:lineRule="auto"/>
        <w:ind w:firstLine="851"/>
        <w:jc w:val="both"/>
      </w:pPr>
      <w:r>
        <w:t xml:space="preserve">Село Ейское Укрепление является административным, деловым, культурным центром муниципального образования Ейскоукрепленское сельское поселение из учреждений административно-хозяйственного назначения в селе размещены: администрация муниципального образования Ейскоукрепленское сельское поселение, администрация СПК колхоз «Лиманский», филиал сберегательного банка № 17989/ 047, администрации ГУ социального обслуживания «Веста» и ГПУ «Крайводоканал», Ейский узел электросвязи. </w:t>
      </w:r>
    </w:p>
    <w:p>
      <w:pPr>
        <w:pStyle w:val="79"/>
        <w:suppressAutoHyphens/>
        <w:spacing w:before="0" w:beforeAutospacing="0" w:after="0" w:afterAutospacing="0" w:line="360" w:lineRule="auto"/>
        <w:ind w:firstLine="851"/>
        <w:jc w:val="both"/>
      </w:pPr>
      <w:r>
        <w:t>В селе функционирует средняя общеобразовательная школа на 352 учащихся, в которой обучается 196 детей. Детский сад-ясли №4, рассчитанный на 160 мест, посещают 90 детей.</w:t>
      </w:r>
    </w:p>
    <w:p>
      <w:pPr>
        <w:pStyle w:val="79"/>
        <w:suppressAutoHyphens/>
        <w:spacing w:before="0" w:beforeAutospacing="0" w:after="0" w:afterAutospacing="0" w:line="360" w:lineRule="auto"/>
        <w:ind w:firstLine="851"/>
        <w:jc w:val="both"/>
      </w:pPr>
      <w:r>
        <w:t>Из объектов здравоохранения в Ейском Укреплении размещена участковая больница на 35 коек с поликлиникой на 25 посещений в смену, аптекой и станцией скорой медицинской помощи на 1 автомобиль.</w:t>
      </w:r>
    </w:p>
    <w:p>
      <w:pPr>
        <w:pStyle w:val="79"/>
        <w:suppressAutoHyphens/>
        <w:spacing w:before="0" w:beforeAutospacing="0" w:after="0" w:afterAutospacing="0" w:line="360" w:lineRule="auto"/>
        <w:ind w:firstLine="851"/>
        <w:jc w:val="both"/>
      </w:pPr>
      <w:r>
        <w:t>Сеть учреждений культуры в селе представлена Сельским Домом культуры со зрительным залом на 350 мест, танцевальным залом, кружковыми помещениями.</w:t>
      </w:r>
    </w:p>
    <w:p>
      <w:pPr>
        <w:pStyle w:val="79"/>
        <w:suppressAutoHyphens/>
        <w:spacing w:before="0" w:beforeAutospacing="0" w:after="0" w:afterAutospacing="0" w:line="360" w:lineRule="auto"/>
        <w:ind w:firstLine="851"/>
        <w:jc w:val="both"/>
      </w:pPr>
      <w:r>
        <w:t>Предприятия торговли представлены магазинами преимущественно частной формы собственности и насчитывают 68,6 м2 торговой площади. Предприятия общественного питания отсутствуют.</w:t>
      </w:r>
    </w:p>
    <w:p>
      <w:pPr>
        <w:pStyle w:val="79"/>
        <w:suppressAutoHyphens/>
        <w:spacing w:before="0" w:beforeAutospacing="0" w:after="0" w:afterAutospacing="0" w:line="360" w:lineRule="auto"/>
        <w:ind w:firstLine="851"/>
        <w:jc w:val="both"/>
      </w:pPr>
      <w:r>
        <w:t>Спортивные сооружения представлены футбольным полем и не действующим спортивным комплексом.</w:t>
      </w:r>
    </w:p>
    <w:p>
      <w:pPr>
        <w:pStyle w:val="79"/>
        <w:suppressAutoHyphens/>
        <w:spacing w:before="0" w:beforeAutospacing="0" w:after="0" w:afterAutospacing="0" w:line="360" w:lineRule="auto"/>
        <w:ind w:firstLine="851"/>
        <w:jc w:val="both"/>
      </w:pPr>
      <w:r>
        <w:t>Ниже в таблице 11 приводится перечень сохраняемых объектов обслуживания населения села Ейское Укрепление.</w:t>
      </w:r>
    </w:p>
    <w:p>
      <w:pPr>
        <w:pStyle w:val="79"/>
        <w:suppressAutoHyphens/>
        <w:spacing w:before="0" w:beforeAutospacing="0" w:after="0" w:afterAutospacing="0" w:line="360" w:lineRule="auto"/>
        <w:ind w:firstLine="851"/>
        <w:jc w:val="both"/>
      </w:pPr>
    </w:p>
    <w:p>
      <w:pPr>
        <w:spacing w:line="240" w:lineRule="auto"/>
        <w:jc w:val="center"/>
        <w:rPr>
          <w:b/>
          <w:bCs/>
        </w:rPr>
      </w:pPr>
      <w:r>
        <w:rPr>
          <w:b/>
          <w:bCs/>
        </w:rPr>
        <w:t>Перечень сохраняемых объектов обслуживания села Ейское Укрепление</w:t>
      </w:r>
    </w:p>
    <w:p>
      <w:pPr>
        <w:pStyle w:val="147"/>
        <w:numPr>
          <w:ilvl w:val="0"/>
          <w:numId w:val="23"/>
        </w:numPr>
        <w:ind w:right="142"/>
        <w:jc w:val="right"/>
        <w:rPr>
          <w:b/>
          <w:bCs/>
        </w:rPr>
      </w:pPr>
      <w:r>
        <w:rPr>
          <w:b/>
          <w:bCs/>
        </w:rPr>
        <w:t>Таблица 11</w:t>
      </w:r>
    </w:p>
    <w:tbl>
      <w:tblPr>
        <w:tblStyle w:val="12"/>
        <w:tblW w:w="5000" w:type="pct"/>
        <w:tblInd w:w="0" w:type="dxa"/>
        <w:tblLayout w:type="autofit"/>
        <w:tblCellMar>
          <w:top w:w="0" w:type="dxa"/>
          <w:left w:w="108" w:type="dxa"/>
          <w:bottom w:w="0" w:type="dxa"/>
          <w:right w:w="108" w:type="dxa"/>
        </w:tblCellMar>
      </w:tblPr>
      <w:tblGrid>
        <w:gridCol w:w="673"/>
        <w:gridCol w:w="5590"/>
        <w:gridCol w:w="1486"/>
        <w:gridCol w:w="1090"/>
        <w:gridCol w:w="1583"/>
      </w:tblGrid>
      <w:tr>
        <w:tblPrEx>
          <w:tblCellMar>
            <w:top w:w="0" w:type="dxa"/>
            <w:left w:w="108" w:type="dxa"/>
            <w:bottom w:w="0" w:type="dxa"/>
            <w:right w:w="108" w:type="dxa"/>
          </w:tblCellMar>
        </w:tblPrEx>
        <w:trPr>
          <w:trHeight w:val="624" w:hRule="atLeast"/>
          <w:tblHeader/>
        </w:trPr>
        <w:tc>
          <w:tcPr>
            <w:tcW w:w="323" w:type="pct"/>
            <w:tcBorders>
              <w:top w:val="single" w:color="000000" w:sz="4" w:space="0"/>
              <w:left w:val="single" w:color="000000" w:sz="4" w:space="0"/>
              <w:bottom w:val="single" w:color="000000" w:sz="4" w:space="0"/>
            </w:tcBorders>
            <w:vAlign w:val="center"/>
          </w:tcPr>
          <w:p>
            <w:pPr>
              <w:snapToGrid w:val="0"/>
              <w:jc w:val="center"/>
              <w:rPr>
                <w:b/>
                <w:bCs/>
              </w:rPr>
            </w:pPr>
            <w:r>
              <w:rPr>
                <w:b/>
                <w:bCs/>
              </w:rPr>
              <w:t>№ п/п</w:t>
            </w:r>
          </w:p>
        </w:tc>
        <w:tc>
          <w:tcPr>
            <w:tcW w:w="2682" w:type="pct"/>
            <w:tcBorders>
              <w:top w:val="single" w:color="000000" w:sz="4" w:space="0"/>
              <w:left w:val="single" w:color="000000" w:sz="4" w:space="0"/>
              <w:bottom w:val="single" w:color="000000" w:sz="4" w:space="0"/>
            </w:tcBorders>
            <w:vAlign w:val="center"/>
          </w:tcPr>
          <w:p>
            <w:pPr>
              <w:snapToGrid w:val="0"/>
              <w:jc w:val="center"/>
              <w:rPr>
                <w:b/>
              </w:rPr>
            </w:pPr>
            <w:r>
              <w:rPr>
                <w:b/>
                <w:bCs/>
              </w:rPr>
              <w:t>Наименование</w:t>
            </w:r>
          </w:p>
        </w:tc>
        <w:tc>
          <w:tcPr>
            <w:tcW w:w="713" w:type="pct"/>
            <w:tcBorders>
              <w:top w:val="single" w:color="000000" w:sz="4" w:space="0"/>
              <w:left w:val="single" w:color="000000" w:sz="4" w:space="0"/>
              <w:bottom w:val="single" w:color="000000" w:sz="4" w:space="0"/>
            </w:tcBorders>
            <w:vAlign w:val="center"/>
          </w:tcPr>
          <w:p>
            <w:pPr>
              <w:snapToGrid w:val="0"/>
              <w:jc w:val="center"/>
              <w:rPr>
                <w:b/>
                <w:bCs/>
              </w:rPr>
            </w:pPr>
            <w:r>
              <w:rPr>
                <w:b/>
                <w:bCs/>
              </w:rPr>
              <w:t>Количество</w:t>
            </w:r>
          </w:p>
        </w:tc>
        <w:tc>
          <w:tcPr>
            <w:tcW w:w="523" w:type="pct"/>
            <w:tcBorders>
              <w:top w:val="single" w:color="000000" w:sz="4" w:space="0"/>
              <w:left w:val="single" w:color="000000" w:sz="4" w:space="0"/>
              <w:bottom w:val="single" w:color="000000" w:sz="4" w:space="0"/>
            </w:tcBorders>
            <w:vAlign w:val="center"/>
          </w:tcPr>
          <w:p>
            <w:pPr>
              <w:snapToGrid w:val="0"/>
              <w:jc w:val="center"/>
              <w:rPr>
                <w:b/>
                <w:bCs/>
              </w:rPr>
            </w:pPr>
            <w:r>
              <w:rPr>
                <w:b/>
                <w:bCs/>
              </w:rPr>
              <w:t>Этаж.</w:t>
            </w:r>
          </w:p>
        </w:tc>
        <w:tc>
          <w:tcPr>
            <w:tcW w:w="759" w:type="pct"/>
            <w:tcBorders>
              <w:top w:val="single" w:color="000000" w:sz="4" w:space="0"/>
              <w:left w:val="single" w:color="000000" w:sz="4" w:space="0"/>
              <w:bottom w:val="single" w:color="000000" w:sz="4" w:space="0"/>
              <w:right w:val="single" w:color="000000" w:sz="4" w:space="0"/>
            </w:tcBorders>
            <w:vAlign w:val="center"/>
          </w:tcPr>
          <w:p>
            <w:pPr>
              <w:rPr>
                <w:b/>
              </w:rPr>
            </w:pPr>
            <w:r>
              <w:rPr>
                <w:b/>
              </w:rPr>
              <w:t>Примечание</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tabs>
                <w:tab w:val="center" w:pos="226"/>
              </w:tabs>
              <w:snapToGrid w:val="0"/>
              <w:jc w:val="center"/>
            </w:pPr>
            <w:r>
              <w:t>1</w:t>
            </w:r>
          </w:p>
        </w:tc>
        <w:tc>
          <w:tcPr>
            <w:tcW w:w="2682" w:type="pct"/>
            <w:tcBorders>
              <w:left w:val="single" w:color="000000" w:sz="4" w:space="0"/>
              <w:bottom w:val="single" w:color="000000" w:sz="4" w:space="0"/>
            </w:tcBorders>
          </w:tcPr>
          <w:p>
            <w:pPr>
              <w:snapToGrid w:val="0"/>
            </w:pPr>
            <w:r>
              <w:t>Администрация МО Ейскоукрепленское сельское поселение;</w:t>
            </w:r>
          </w:p>
          <w:p>
            <w:pPr>
              <w:snapToGrid w:val="0"/>
            </w:pPr>
            <w:r>
              <w:t>- административное здание СПК колхоза «Лиманский»;</w:t>
            </w:r>
          </w:p>
          <w:p>
            <w:pPr>
              <w:snapToGrid w:val="0"/>
            </w:pPr>
            <w:r>
              <w:t xml:space="preserve">- Старощербиновский почтамт </w:t>
            </w:r>
          </w:p>
          <w:p>
            <w:pPr>
              <w:snapToGrid w:val="0"/>
            </w:pPr>
            <w:r>
              <w:t xml:space="preserve">- Ейскоукрепленский ОПС; </w:t>
            </w:r>
          </w:p>
          <w:p>
            <w:pPr>
              <w:snapToGrid w:val="0"/>
            </w:pPr>
            <w:r>
              <w:t>- филиал Ейского ОСБ № 1798/047;</w:t>
            </w:r>
          </w:p>
          <w:p>
            <w:pPr>
              <w:snapToGrid w:val="0"/>
            </w:pPr>
            <w:r>
              <w:t>- Россгострах-Юг;</w:t>
            </w:r>
          </w:p>
          <w:p>
            <w:pPr>
              <w:snapToGrid w:val="0"/>
            </w:pPr>
            <w:r>
              <w:t>- ГУ социального обслуживания «Веста»;</w:t>
            </w:r>
          </w:p>
          <w:p>
            <w:pPr>
              <w:snapToGrid w:val="0"/>
            </w:pPr>
            <w:r>
              <w:t>- ГПУ «Крайводоканал»</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2</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tabs>
                <w:tab w:val="center" w:pos="226"/>
              </w:tabs>
              <w:snapToGrid w:val="0"/>
              <w:jc w:val="center"/>
            </w:pPr>
            <w:r>
              <w:t>2</w:t>
            </w:r>
          </w:p>
        </w:tc>
        <w:tc>
          <w:tcPr>
            <w:tcW w:w="2682" w:type="pct"/>
            <w:tcBorders>
              <w:left w:val="single" w:color="000000" w:sz="4" w:space="0"/>
              <w:bottom w:val="single" w:color="000000" w:sz="4" w:space="0"/>
            </w:tcBorders>
          </w:tcPr>
          <w:p>
            <w:pPr>
              <w:snapToGrid w:val="0"/>
            </w:pPr>
            <w:r>
              <w:t>Ейский узел электросвязи</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vAlign w:val="bottom"/>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3</w:t>
            </w:r>
          </w:p>
        </w:tc>
        <w:tc>
          <w:tcPr>
            <w:tcW w:w="2682" w:type="pct"/>
            <w:tcBorders>
              <w:left w:val="single" w:color="000000" w:sz="4" w:space="0"/>
              <w:bottom w:val="single" w:color="000000" w:sz="4" w:space="0"/>
            </w:tcBorders>
          </w:tcPr>
          <w:p>
            <w:pPr>
              <w:snapToGrid w:val="0"/>
            </w:pPr>
            <w:r>
              <w:t>Сельский Дом культуры со зрительным залом на 350 мест и танцевальным залом</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2</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4</w:t>
            </w:r>
          </w:p>
        </w:tc>
        <w:tc>
          <w:tcPr>
            <w:tcW w:w="2682" w:type="pct"/>
            <w:tcBorders>
              <w:left w:val="single" w:color="000000" w:sz="4" w:space="0"/>
              <w:bottom w:val="single" w:color="000000" w:sz="4" w:space="0"/>
            </w:tcBorders>
          </w:tcPr>
          <w:p>
            <w:pPr>
              <w:snapToGrid w:val="0"/>
            </w:pPr>
            <w:r>
              <w:t>Центральная библиотека</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5</w:t>
            </w:r>
          </w:p>
        </w:tc>
        <w:tc>
          <w:tcPr>
            <w:tcW w:w="2682" w:type="pct"/>
            <w:tcBorders>
              <w:left w:val="single" w:color="000000" w:sz="4" w:space="0"/>
              <w:bottom w:val="single" w:color="000000" w:sz="4" w:space="0"/>
            </w:tcBorders>
          </w:tcPr>
          <w:p>
            <w:pPr>
              <w:snapToGrid w:val="0"/>
            </w:pPr>
            <w:r>
              <w:t xml:space="preserve">Братская могила погибших за власть </w:t>
            </w:r>
          </w:p>
          <w:p>
            <w:pPr>
              <w:snapToGrid w:val="0"/>
            </w:pPr>
            <w:r>
              <w:t>Советов в годы гражданской войны, 1</w:t>
            </w:r>
          </w:p>
          <w:p>
            <w:pPr>
              <w:snapToGrid w:val="0"/>
            </w:pPr>
            <w:r>
              <w:t>918-1920 годы</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w:t>
            </w:r>
          </w:p>
        </w:tc>
        <w:tc>
          <w:tcPr>
            <w:tcW w:w="759" w:type="pct"/>
            <w:tcBorders>
              <w:left w:val="single" w:color="000000" w:sz="4" w:space="0"/>
              <w:bottom w:val="single" w:color="000000" w:sz="4" w:space="0"/>
              <w:right w:val="single" w:color="000000" w:sz="4" w:space="0"/>
            </w:tcBorders>
          </w:tcPr>
          <w:p>
            <w:pPr>
              <w:snapToGrid w:val="0"/>
              <w:jc w:val="center"/>
            </w:pPr>
            <w:r>
              <w:t>сущ.</w:t>
            </w:r>
          </w:p>
          <w:p>
            <w:pPr>
              <w:snapToGrid w:val="0"/>
              <w:jc w:val="center"/>
            </w:pPr>
            <w:r>
              <w:t>памятник истории</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6</w:t>
            </w:r>
          </w:p>
        </w:tc>
        <w:tc>
          <w:tcPr>
            <w:tcW w:w="2682" w:type="pct"/>
            <w:tcBorders>
              <w:left w:val="single" w:color="000000" w:sz="4" w:space="0"/>
              <w:bottom w:val="single" w:color="000000" w:sz="4" w:space="0"/>
            </w:tcBorders>
          </w:tcPr>
          <w:p>
            <w:pPr>
              <w:snapToGrid w:val="0"/>
            </w:pPr>
            <w:r>
              <w:t xml:space="preserve">Могила В. Ф. Гайдукова, командира </w:t>
            </w:r>
          </w:p>
          <w:p>
            <w:pPr>
              <w:snapToGrid w:val="0"/>
            </w:pPr>
            <w:r>
              <w:t>Первого Тихорецкого коммунистического полка, 1918год</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w:t>
            </w:r>
          </w:p>
        </w:tc>
        <w:tc>
          <w:tcPr>
            <w:tcW w:w="759" w:type="pct"/>
            <w:tcBorders>
              <w:left w:val="single" w:color="000000" w:sz="4" w:space="0"/>
              <w:bottom w:val="single" w:color="000000" w:sz="4" w:space="0"/>
              <w:right w:val="single" w:color="000000" w:sz="4" w:space="0"/>
            </w:tcBorders>
          </w:tcPr>
          <w:p>
            <w:pPr>
              <w:snapToGrid w:val="0"/>
              <w:jc w:val="center"/>
            </w:pPr>
            <w:r>
              <w:t>сущ.</w:t>
            </w:r>
          </w:p>
          <w:p>
            <w:pPr>
              <w:snapToGrid w:val="0"/>
              <w:jc w:val="center"/>
            </w:pPr>
            <w:r>
              <w:t>памятник истории</w:t>
            </w:r>
          </w:p>
        </w:tc>
      </w:tr>
      <w:tr>
        <w:tblPrEx>
          <w:tblCellMar>
            <w:top w:w="0" w:type="dxa"/>
            <w:left w:w="108" w:type="dxa"/>
            <w:bottom w:w="0" w:type="dxa"/>
            <w:right w:w="108" w:type="dxa"/>
          </w:tblCellMar>
        </w:tblPrEx>
        <w:tc>
          <w:tcPr>
            <w:tcW w:w="323" w:type="pct"/>
            <w:tcBorders>
              <w:left w:val="single" w:color="000000" w:sz="4" w:space="0"/>
              <w:bottom w:val="single" w:color="auto" w:sz="4" w:space="0"/>
            </w:tcBorders>
          </w:tcPr>
          <w:p>
            <w:pPr>
              <w:snapToGrid w:val="0"/>
              <w:jc w:val="center"/>
            </w:pPr>
            <w:r>
              <w:t>7</w:t>
            </w:r>
          </w:p>
        </w:tc>
        <w:tc>
          <w:tcPr>
            <w:tcW w:w="2682" w:type="pct"/>
            <w:tcBorders>
              <w:top w:val="single" w:color="auto" w:sz="4" w:space="0"/>
              <w:left w:val="single" w:color="000000" w:sz="4" w:space="0"/>
              <w:bottom w:val="single" w:color="auto" w:sz="4" w:space="0"/>
            </w:tcBorders>
          </w:tcPr>
          <w:p>
            <w:pPr>
              <w:snapToGrid w:val="0"/>
            </w:pPr>
            <w:r>
              <w:t>Место захоронения жителей села,</w:t>
            </w:r>
          </w:p>
          <w:p>
            <w:pPr>
              <w:snapToGrid w:val="0"/>
            </w:pPr>
            <w:r>
              <w:t xml:space="preserve"> умерших от голода в 1933 году</w:t>
            </w:r>
          </w:p>
          <w:p>
            <w:pPr>
              <w:snapToGrid w:val="0"/>
            </w:pPr>
          </w:p>
        </w:tc>
        <w:tc>
          <w:tcPr>
            <w:tcW w:w="713" w:type="pct"/>
            <w:tcBorders>
              <w:left w:val="single" w:color="000000" w:sz="4" w:space="0"/>
              <w:bottom w:val="single" w:color="auto" w:sz="4" w:space="0"/>
            </w:tcBorders>
          </w:tcPr>
          <w:p>
            <w:pPr>
              <w:snapToGrid w:val="0"/>
              <w:jc w:val="center"/>
            </w:pPr>
            <w:r>
              <w:t>1</w:t>
            </w:r>
          </w:p>
        </w:tc>
        <w:tc>
          <w:tcPr>
            <w:tcW w:w="523" w:type="pct"/>
            <w:tcBorders>
              <w:left w:val="single" w:color="000000" w:sz="4" w:space="0"/>
              <w:bottom w:val="single" w:color="auto" w:sz="4" w:space="0"/>
            </w:tcBorders>
          </w:tcPr>
          <w:p>
            <w:pPr>
              <w:snapToGrid w:val="0"/>
              <w:jc w:val="center"/>
            </w:pPr>
            <w:r>
              <w:t>-</w:t>
            </w:r>
          </w:p>
        </w:tc>
        <w:tc>
          <w:tcPr>
            <w:tcW w:w="759" w:type="pct"/>
            <w:tcBorders>
              <w:left w:val="single" w:color="000000" w:sz="4" w:space="0"/>
              <w:bottom w:val="single" w:color="auto" w:sz="4" w:space="0"/>
              <w:right w:val="single" w:color="000000" w:sz="4" w:space="0"/>
            </w:tcBorders>
          </w:tcPr>
          <w:p>
            <w:pPr>
              <w:snapToGrid w:val="0"/>
              <w:jc w:val="center"/>
            </w:pPr>
            <w:r>
              <w:t>сущ.</w:t>
            </w:r>
          </w:p>
          <w:p>
            <w:pPr>
              <w:snapToGrid w:val="0"/>
              <w:jc w:val="center"/>
            </w:pPr>
            <w:r>
              <w:t>памятник истории</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8</w:t>
            </w:r>
          </w:p>
        </w:tc>
        <w:tc>
          <w:tcPr>
            <w:tcW w:w="2682" w:type="pct"/>
            <w:tcBorders>
              <w:left w:val="single" w:color="000000" w:sz="4" w:space="0"/>
              <w:bottom w:val="single" w:color="000000" w:sz="4" w:space="0"/>
            </w:tcBorders>
          </w:tcPr>
          <w:p>
            <w:pPr>
              <w:snapToGrid w:val="0"/>
            </w:pPr>
            <w:r>
              <w:t>Место, где была организована первая комсомольская ячейка с. Ейское Укрепление</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w:t>
            </w:r>
          </w:p>
        </w:tc>
        <w:tc>
          <w:tcPr>
            <w:tcW w:w="759" w:type="pct"/>
            <w:tcBorders>
              <w:left w:val="single" w:color="000000" w:sz="4" w:space="0"/>
              <w:bottom w:val="single" w:color="000000" w:sz="4" w:space="0"/>
              <w:right w:val="single" w:color="000000" w:sz="4" w:space="0"/>
            </w:tcBorders>
          </w:tcPr>
          <w:p>
            <w:pPr>
              <w:snapToGrid w:val="0"/>
              <w:jc w:val="center"/>
            </w:pPr>
            <w:r>
              <w:t>сущ.</w:t>
            </w:r>
          </w:p>
          <w:p>
            <w:pPr>
              <w:snapToGrid w:val="0"/>
              <w:jc w:val="center"/>
            </w:pPr>
            <w:r>
              <w:t>памятник истории</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9</w:t>
            </w:r>
          </w:p>
        </w:tc>
        <w:tc>
          <w:tcPr>
            <w:tcW w:w="2682" w:type="pct"/>
            <w:tcBorders>
              <w:left w:val="single" w:color="000000" w:sz="4" w:space="0"/>
              <w:bottom w:val="single" w:color="000000" w:sz="4" w:space="0"/>
            </w:tcBorders>
            <w:vAlign w:val="bottom"/>
          </w:tcPr>
          <w:p>
            <w:pPr>
              <w:snapToGrid w:val="0"/>
            </w:pPr>
            <w:r>
              <w:t>Детский сад №4 на 160 мест</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2</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10</w:t>
            </w:r>
          </w:p>
        </w:tc>
        <w:tc>
          <w:tcPr>
            <w:tcW w:w="2682" w:type="pct"/>
            <w:tcBorders>
              <w:left w:val="single" w:color="000000" w:sz="4" w:space="0"/>
              <w:bottom w:val="single" w:color="000000" w:sz="4" w:space="0"/>
            </w:tcBorders>
            <w:vAlign w:val="bottom"/>
          </w:tcPr>
          <w:p>
            <w:pPr>
              <w:snapToGrid w:val="0"/>
            </w:pPr>
            <w:r>
              <w:t>Общеобразовательная средняя школа №7 на 352 учащихся</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2</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11</w:t>
            </w:r>
          </w:p>
        </w:tc>
        <w:tc>
          <w:tcPr>
            <w:tcW w:w="2682" w:type="pct"/>
            <w:tcBorders>
              <w:left w:val="single" w:color="000000" w:sz="4" w:space="0"/>
              <w:bottom w:val="single" w:color="000000" w:sz="4" w:space="0"/>
            </w:tcBorders>
            <w:vAlign w:val="bottom"/>
          </w:tcPr>
          <w:p>
            <w:pPr>
              <w:snapToGrid w:val="0"/>
            </w:pPr>
            <w:r>
              <w:t>Участковая больница в составе:</w:t>
            </w:r>
          </w:p>
          <w:p>
            <w:pPr>
              <w:snapToGrid w:val="0"/>
            </w:pPr>
            <w:r>
              <w:t>- амбулатория на 25 посещений в смену;</w:t>
            </w:r>
          </w:p>
          <w:p>
            <w:pPr>
              <w:snapToGrid w:val="0"/>
            </w:pPr>
            <w:r>
              <w:t>- стационар на 35 коек;</w:t>
            </w:r>
          </w:p>
          <w:p>
            <w:pPr>
              <w:snapToGrid w:val="0"/>
            </w:pPr>
            <w:r>
              <w:t>- аптека;</w:t>
            </w:r>
          </w:p>
          <w:p>
            <w:pPr>
              <w:snapToGrid w:val="0"/>
            </w:pPr>
            <w:r>
              <w:t>- станция скорой помощи на 1 автомобиль</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12</w:t>
            </w:r>
          </w:p>
        </w:tc>
        <w:tc>
          <w:tcPr>
            <w:tcW w:w="2682" w:type="pct"/>
            <w:tcBorders>
              <w:left w:val="single" w:color="000000" w:sz="4" w:space="0"/>
              <w:bottom w:val="single" w:color="000000" w:sz="4" w:space="0"/>
            </w:tcBorders>
          </w:tcPr>
          <w:p>
            <w:pPr>
              <w:snapToGrid w:val="0"/>
              <w:rPr>
                <w:highlight w:val="yellow"/>
              </w:rPr>
            </w:pPr>
            <w:r>
              <w:t>Футбольное поле</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13</w:t>
            </w:r>
          </w:p>
        </w:tc>
        <w:tc>
          <w:tcPr>
            <w:tcW w:w="2682" w:type="pct"/>
            <w:tcBorders>
              <w:left w:val="single" w:color="000000" w:sz="4" w:space="0"/>
              <w:bottom w:val="single" w:color="000000" w:sz="4" w:space="0"/>
            </w:tcBorders>
          </w:tcPr>
          <w:p>
            <w:pPr>
              <w:snapToGrid w:val="0"/>
            </w:pPr>
            <w:r>
              <w:t>Магазин</w:t>
            </w:r>
          </w:p>
        </w:tc>
        <w:tc>
          <w:tcPr>
            <w:tcW w:w="713" w:type="pct"/>
            <w:tcBorders>
              <w:left w:val="single" w:color="000000" w:sz="4" w:space="0"/>
              <w:bottom w:val="single" w:color="000000" w:sz="4" w:space="0"/>
            </w:tcBorders>
          </w:tcPr>
          <w:p>
            <w:pPr>
              <w:snapToGrid w:val="0"/>
              <w:jc w:val="center"/>
            </w:pPr>
            <w:r>
              <w:t>8</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rPr>
          <w:trHeight w:val="1986" w:hRule="atLeast"/>
        </w:trPr>
        <w:tc>
          <w:tcPr>
            <w:tcW w:w="323" w:type="pct"/>
            <w:tcBorders>
              <w:left w:val="single" w:color="000000" w:sz="4" w:space="0"/>
              <w:bottom w:val="single" w:color="000000" w:sz="4" w:space="0"/>
            </w:tcBorders>
          </w:tcPr>
          <w:p>
            <w:pPr>
              <w:snapToGrid w:val="0"/>
              <w:jc w:val="center"/>
            </w:pPr>
            <w:r>
              <w:t>14</w:t>
            </w:r>
          </w:p>
        </w:tc>
        <w:tc>
          <w:tcPr>
            <w:tcW w:w="2682" w:type="pct"/>
            <w:tcBorders>
              <w:left w:val="single" w:color="000000" w:sz="4" w:space="0"/>
              <w:bottom w:val="single" w:color="000000" w:sz="4" w:space="0"/>
            </w:tcBorders>
          </w:tcPr>
          <w:p>
            <w:pPr>
              <w:snapToGrid w:val="0"/>
            </w:pPr>
            <w:r>
              <w:t>Здание административно-торгового назначения в составе:</w:t>
            </w:r>
          </w:p>
          <w:p>
            <w:pPr>
              <w:snapToGrid w:val="0"/>
            </w:pPr>
            <w:r>
              <w:t>- ОАО «Щербиновскаярайгаз»;</w:t>
            </w:r>
          </w:p>
          <w:p>
            <w:pPr>
              <w:snapToGrid w:val="0"/>
            </w:pPr>
            <w:r>
              <w:t>- магазины</w:t>
            </w:r>
          </w:p>
          <w:p>
            <w:pPr>
              <w:snapToGrid w:val="0"/>
            </w:pPr>
            <w:r>
              <w:t>- комната ветеранов;</w:t>
            </w:r>
          </w:p>
          <w:p>
            <w:pPr>
              <w:snapToGrid w:val="0"/>
            </w:pPr>
            <w:r>
              <w:t>- парикмахерская;</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rPr>
          <w:trHeight w:val="351" w:hRule="atLeast"/>
        </w:trPr>
        <w:tc>
          <w:tcPr>
            <w:tcW w:w="323" w:type="pct"/>
            <w:tcBorders>
              <w:left w:val="single" w:color="000000" w:sz="4" w:space="0"/>
              <w:bottom w:val="single" w:color="000000" w:sz="4" w:space="0"/>
            </w:tcBorders>
          </w:tcPr>
          <w:p>
            <w:pPr>
              <w:snapToGrid w:val="0"/>
              <w:jc w:val="center"/>
            </w:pPr>
            <w:r>
              <w:t>15</w:t>
            </w:r>
          </w:p>
        </w:tc>
        <w:tc>
          <w:tcPr>
            <w:tcW w:w="2682" w:type="pct"/>
            <w:tcBorders>
              <w:left w:val="single" w:color="000000" w:sz="4" w:space="0"/>
              <w:bottom w:val="single" w:color="000000" w:sz="4" w:space="0"/>
            </w:tcBorders>
          </w:tcPr>
          <w:p>
            <w:pPr>
              <w:snapToGrid w:val="0"/>
            </w:pPr>
            <w:r>
              <w:t>Гостиница СПК колхоза «Лиманский»</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r>
        <w:tblPrEx>
          <w:tblCellMar>
            <w:top w:w="0" w:type="dxa"/>
            <w:left w:w="108" w:type="dxa"/>
            <w:bottom w:w="0" w:type="dxa"/>
            <w:right w:w="108" w:type="dxa"/>
          </w:tblCellMar>
        </w:tblPrEx>
        <w:trPr>
          <w:trHeight w:val="351" w:hRule="atLeast"/>
        </w:trPr>
        <w:tc>
          <w:tcPr>
            <w:tcW w:w="323" w:type="pct"/>
            <w:tcBorders>
              <w:left w:val="single" w:color="000000" w:sz="4" w:space="0"/>
              <w:bottom w:val="single" w:color="000000" w:sz="4" w:space="0"/>
            </w:tcBorders>
          </w:tcPr>
          <w:p>
            <w:pPr>
              <w:snapToGrid w:val="0"/>
              <w:jc w:val="center"/>
              <w:rPr>
                <w:cs/>
              </w:rPr>
            </w:pPr>
            <w:r>
              <w:rPr>
                <w:rFonts w:hint="cs"/>
                <w:cs/>
              </w:rPr>
              <w:t>16</w:t>
            </w:r>
          </w:p>
        </w:tc>
        <w:tc>
          <w:tcPr>
            <w:tcW w:w="2682" w:type="pct"/>
            <w:tcBorders>
              <w:left w:val="single" w:color="000000" w:sz="4" w:space="0"/>
              <w:bottom w:val="single" w:color="000000" w:sz="4" w:space="0"/>
            </w:tcBorders>
          </w:tcPr>
          <w:p>
            <w:pPr>
              <w:snapToGrid w:val="0"/>
              <w:rPr>
                <w:cs/>
              </w:rPr>
            </w:pPr>
            <w:r>
              <w:rPr>
                <w:cs/>
              </w:rPr>
              <w:t>Кафе</w:t>
            </w:r>
          </w:p>
        </w:tc>
        <w:tc>
          <w:tcPr>
            <w:tcW w:w="713" w:type="pct"/>
            <w:tcBorders>
              <w:left w:val="single" w:color="000000" w:sz="4" w:space="0"/>
              <w:bottom w:val="single" w:color="000000" w:sz="4" w:space="0"/>
            </w:tcBorders>
          </w:tcPr>
          <w:p>
            <w:pPr>
              <w:snapToGrid w:val="0"/>
              <w:jc w:val="center"/>
              <w:rPr>
                <w:cs/>
              </w:rPr>
            </w:pPr>
            <w:r>
              <w:rPr>
                <w:cs/>
              </w:rPr>
              <w:t>1</w:t>
            </w:r>
          </w:p>
        </w:tc>
        <w:tc>
          <w:tcPr>
            <w:tcW w:w="523" w:type="pct"/>
            <w:tcBorders>
              <w:left w:val="single" w:color="000000" w:sz="4" w:space="0"/>
              <w:bottom w:val="single" w:color="000000" w:sz="4" w:space="0"/>
            </w:tcBorders>
          </w:tcPr>
          <w:p>
            <w:pPr>
              <w:snapToGrid w:val="0"/>
              <w:jc w:val="center"/>
              <w:rPr>
                <w:cs/>
              </w:rPr>
            </w:pPr>
            <w:r>
              <w:rPr>
                <w:cs/>
              </w:rPr>
              <w:t>1</w:t>
            </w:r>
          </w:p>
        </w:tc>
        <w:tc>
          <w:tcPr>
            <w:tcW w:w="759" w:type="pct"/>
            <w:tcBorders>
              <w:left w:val="single" w:color="000000" w:sz="4" w:space="0"/>
              <w:bottom w:val="single" w:color="000000" w:sz="4" w:space="0"/>
              <w:right w:val="single" w:color="000000" w:sz="4" w:space="0"/>
            </w:tcBorders>
          </w:tcPr>
          <w:p>
            <w:pPr>
              <w:snapToGrid w:val="0"/>
              <w:jc w:val="center"/>
              <w:rPr>
                <w:cs/>
              </w:rPr>
            </w:pPr>
            <w:r>
              <w:rPr>
                <w:cs/>
              </w:rPr>
              <w:t>реконстр.</w:t>
            </w:r>
          </w:p>
        </w:tc>
      </w:tr>
      <w:tr>
        <w:tblPrEx>
          <w:tblCellMar>
            <w:top w:w="0" w:type="dxa"/>
            <w:left w:w="108" w:type="dxa"/>
            <w:bottom w:w="0" w:type="dxa"/>
            <w:right w:w="108" w:type="dxa"/>
          </w:tblCellMar>
        </w:tblPrEx>
        <w:tc>
          <w:tcPr>
            <w:tcW w:w="323" w:type="pct"/>
            <w:tcBorders>
              <w:left w:val="single" w:color="000000" w:sz="4" w:space="0"/>
              <w:bottom w:val="single" w:color="000000" w:sz="4" w:space="0"/>
            </w:tcBorders>
          </w:tcPr>
          <w:p>
            <w:pPr>
              <w:snapToGrid w:val="0"/>
              <w:jc w:val="center"/>
            </w:pPr>
            <w:r>
              <w:t>17</w:t>
            </w:r>
          </w:p>
        </w:tc>
        <w:tc>
          <w:tcPr>
            <w:tcW w:w="2682" w:type="pct"/>
            <w:tcBorders>
              <w:left w:val="single" w:color="000000" w:sz="4" w:space="0"/>
              <w:bottom w:val="single" w:color="000000" w:sz="4" w:space="0"/>
            </w:tcBorders>
          </w:tcPr>
          <w:p>
            <w:pPr>
              <w:snapToGrid w:val="0"/>
            </w:pPr>
            <w:r>
              <w:t>Баня на 40 мест</w:t>
            </w:r>
          </w:p>
        </w:tc>
        <w:tc>
          <w:tcPr>
            <w:tcW w:w="713" w:type="pct"/>
            <w:tcBorders>
              <w:left w:val="single" w:color="000000" w:sz="4" w:space="0"/>
              <w:bottom w:val="single" w:color="000000" w:sz="4" w:space="0"/>
            </w:tcBorders>
          </w:tcPr>
          <w:p>
            <w:pPr>
              <w:snapToGrid w:val="0"/>
              <w:jc w:val="center"/>
            </w:pPr>
            <w:r>
              <w:t>1</w:t>
            </w:r>
          </w:p>
        </w:tc>
        <w:tc>
          <w:tcPr>
            <w:tcW w:w="523" w:type="pct"/>
            <w:tcBorders>
              <w:left w:val="single" w:color="000000" w:sz="4" w:space="0"/>
              <w:bottom w:val="single" w:color="000000" w:sz="4" w:space="0"/>
            </w:tcBorders>
          </w:tcPr>
          <w:p>
            <w:pPr>
              <w:snapToGrid w:val="0"/>
              <w:jc w:val="center"/>
            </w:pPr>
            <w:r>
              <w:t>1</w:t>
            </w:r>
          </w:p>
        </w:tc>
        <w:tc>
          <w:tcPr>
            <w:tcW w:w="759" w:type="pct"/>
            <w:tcBorders>
              <w:left w:val="single" w:color="000000" w:sz="4" w:space="0"/>
              <w:bottom w:val="single" w:color="000000" w:sz="4" w:space="0"/>
              <w:right w:val="single" w:color="000000" w:sz="4" w:space="0"/>
            </w:tcBorders>
          </w:tcPr>
          <w:p>
            <w:pPr>
              <w:snapToGrid w:val="0"/>
              <w:jc w:val="center"/>
            </w:pPr>
            <w:r>
              <w:t>сущ.</w:t>
            </w:r>
          </w:p>
        </w:tc>
      </w:tr>
    </w:tbl>
    <w:p>
      <w:pPr>
        <w:pStyle w:val="79"/>
        <w:suppressAutoHyphens/>
        <w:spacing w:before="0" w:beforeAutospacing="0" w:after="0" w:afterAutospacing="0" w:line="360" w:lineRule="auto"/>
        <w:ind w:firstLine="851"/>
        <w:jc w:val="both"/>
      </w:pPr>
    </w:p>
    <w:p>
      <w:pPr>
        <w:pStyle w:val="79"/>
        <w:suppressAutoHyphens/>
        <w:spacing w:before="0" w:beforeAutospacing="0" w:after="0" w:afterAutospacing="0" w:line="360" w:lineRule="auto"/>
        <w:ind w:firstLine="851"/>
        <w:jc w:val="both"/>
      </w:pPr>
    </w:p>
    <w:p>
      <w:pPr>
        <w:pStyle w:val="79"/>
        <w:suppressAutoHyphens/>
        <w:spacing w:before="0" w:beforeAutospacing="0" w:after="0" w:afterAutospacing="0" w:line="360" w:lineRule="auto"/>
        <w:ind w:firstLine="851"/>
        <w:jc w:val="both"/>
      </w:pPr>
      <w:r>
        <w:t>Имеющаяся сеть предприятий и учреждений обслуживания не обеспечивает в полном объеме потребности населения.</w:t>
      </w:r>
    </w:p>
    <w:p>
      <w:pPr>
        <w:pStyle w:val="79"/>
        <w:suppressAutoHyphens/>
        <w:spacing w:before="0" w:beforeAutospacing="0" w:after="0" w:afterAutospacing="0" w:line="360" w:lineRule="auto"/>
        <w:ind w:firstLine="851"/>
        <w:jc w:val="both"/>
      </w:pPr>
      <w:r>
        <w:t>Генеральным планом предусматривается дальнейшее развитие и совершенствование структуры обслуживания с учетом сложившихся факторов и перспективного развития населенного пункта.</w:t>
      </w:r>
    </w:p>
    <w:p>
      <w:pPr>
        <w:pStyle w:val="79"/>
        <w:suppressAutoHyphens/>
        <w:spacing w:before="0" w:beforeAutospacing="0" w:after="0" w:afterAutospacing="0" w:line="360" w:lineRule="auto"/>
        <w:ind w:firstLine="851"/>
        <w:jc w:val="both"/>
      </w:pPr>
      <w:r>
        <w:t>Основными принципами в оптимизации системы обслуживания села, подборе и определении мощности предприятий являются:</w:t>
      </w:r>
    </w:p>
    <w:p>
      <w:pPr>
        <w:pStyle w:val="147"/>
        <w:numPr>
          <w:ilvl w:val="0"/>
          <w:numId w:val="25"/>
        </w:numPr>
        <w:suppressAutoHyphens/>
        <w:spacing w:after="0" w:line="360" w:lineRule="auto"/>
        <w:jc w:val="both"/>
      </w:pPr>
      <w:r>
        <w:t>повышение уровня и качества обслуживания при одновременном сокращении расходов времени населения на поездки в культурно-бытовых целях;</w:t>
      </w:r>
    </w:p>
    <w:p>
      <w:pPr>
        <w:pStyle w:val="147"/>
        <w:numPr>
          <w:ilvl w:val="0"/>
          <w:numId w:val="25"/>
        </w:numPr>
        <w:suppressAutoHyphens/>
        <w:spacing w:after="0" w:line="360" w:lineRule="auto"/>
        <w:jc w:val="both"/>
      </w:pPr>
      <w:r>
        <w:t>возможность мобильного обслуживания и доставки товаров и услуг периодического и эпизодического спроса на основе заказов и заявок;</w:t>
      </w:r>
    </w:p>
    <w:p>
      <w:pPr>
        <w:pStyle w:val="147"/>
        <w:numPr>
          <w:ilvl w:val="0"/>
          <w:numId w:val="25"/>
        </w:numPr>
        <w:suppressAutoHyphens/>
        <w:spacing w:after="0" w:line="360" w:lineRule="auto"/>
        <w:jc w:val="both"/>
      </w:pPr>
      <w:r>
        <w:t>максимально возможное приближение и равномерное рассредоточение в жилой застройке обслуживающих центров периодического и массового спроса для удовлетворения потребностей населения.</w:t>
      </w:r>
    </w:p>
    <w:p>
      <w:pPr>
        <w:pStyle w:val="79"/>
        <w:suppressAutoHyphens/>
        <w:spacing w:before="0" w:beforeAutospacing="0" w:after="0" w:afterAutospacing="0" w:line="360" w:lineRule="auto"/>
        <w:ind w:firstLine="851"/>
        <w:jc w:val="both"/>
      </w:pPr>
      <w:r>
        <w:t>По временной доступности и частоте спроса все проектируемые и существующие учреждения обслуживания делятся на категории:</w:t>
      </w:r>
    </w:p>
    <w:p>
      <w:pPr>
        <w:pStyle w:val="147"/>
        <w:numPr>
          <w:ilvl w:val="0"/>
          <w:numId w:val="25"/>
        </w:numPr>
        <w:suppressAutoHyphens/>
        <w:spacing w:after="0" w:line="360" w:lineRule="auto"/>
        <w:jc w:val="both"/>
      </w:pPr>
      <w:r>
        <w:t>учреждения повседневного спроса – первая ступень обслуживания для постоянного населения: детские дошкольные учреждения, начальные общеобразовательные школы, магазины продовольственных и промышленных товаров, комплексные физкультурные площадки, столовые, приемные пункты КБО, бани, кафе и т.д. Учреждения повседневного спроса находятся в пределах пешеходной доступности и размещаются в каждом микрорайоне или жилой группе села;</w:t>
      </w:r>
    </w:p>
    <w:p>
      <w:pPr>
        <w:pStyle w:val="147"/>
        <w:numPr>
          <w:ilvl w:val="0"/>
          <w:numId w:val="25"/>
        </w:numPr>
        <w:suppressAutoHyphens/>
        <w:spacing w:after="0" w:line="360" w:lineRule="auto"/>
        <w:jc w:val="both"/>
      </w:pPr>
      <w:r>
        <w:t xml:space="preserve">учреждения периодического пользования (межпоселкового обслуживания) –  вторая ступень обслуживания – размещаются в центрах сельских поселений; для постоянного населения: средние школы, поликлиники, амбулатории, кинотеатры, клубы, стадионы, кафе, комбинаты бытового обслуживания, магазины – обслуживают население в пределах 30 минутной транспортной доступности; </w:t>
      </w:r>
    </w:p>
    <w:p>
      <w:pPr>
        <w:pStyle w:val="147"/>
        <w:numPr>
          <w:ilvl w:val="0"/>
          <w:numId w:val="25"/>
        </w:numPr>
        <w:suppressAutoHyphens/>
        <w:spacing w:after="0" w:line="360" w:lineRule="auto"/>
        <w:jc w:val="both"/>
      </w:pPr>
      <w:r>
        <w:t>учреждения эпизодического пользования: административно - хозяйственные, деловые, финансово-кредитные учреждения, музеи, библиотеки, учреждения стационарного медицинского обслуживания, соцобеспечения, крупные спортивные комплексы районного значения, высшие учебные заведения, гостиницы, крупные торговые центры.</w:t>
      </w:r>
    </w:p>
    <w:p>
      <w:pPr>
        <w:pStyle w:val="79"/>
        <w:suppressAutoHyphens/>
        <w:spacing w:before="0" w:beforeAutospacing="0" w:after="0" w:afterAutospacing="0" w:line="360" w:lineRule="auto"/>
        <w:ind w:firstLine="851"/>
        <w:jc w:val="both"/>
      </w:pPr>
      <w:r>
        <w:t>В связи с дальнейшим развитием села Ейское Укрепление за счет расселения трудовых мигрантов генеральным планом предусматривается строительство новых учреждений обслуживания с сохранением и реконструкцией существующих.</w:t>
      </w:r>
    </w:p>
    <w:p>
      <w:pPr>
        <w:pStyle w:val="79"/>
        <w:suppressAutoHyphens/>
        <w:spacing w:before="0" w:beforeAutospacing="0" w:after="0" w:afterAutospacing="0" w:line="360" w:lineRule="auto"/>
        <w:ind w:firstLine="851"/>
        <w:jc w:val="both"/>
      </w:pPr>
      <w:r>
        <w:t>Расчет потребности села в основных учреждениях обслуживания произведен в соответствии с нормами СП 42.13330.2016 Градостроительство. Планировка и застройка городских и сельских поселений. Актуализированная редакция СНиП 2.07.01-89* (с Изменениями № 1, 2).</w:t>
      </w:r>
    </w:p>
    <w:p>
      <w:pPr>
        <w:pStyle w:val="79"/>
        <w:suppressAutoHyphens/>
        <w:spacing w:before="0" w:beforeAutospacing="0" w:after="0" w:afterAutospacing="0" w:line="360" w:lineRule="auto"/>
        <w:ind w:firstLine="851"/>
        <w:jc w:val="both"/>
      </w:pPr>
      <w:r>
        <w:t>Учреждения и предприятия обслуживания, запроектированные за расчетным сроком, в расчеты не включены.</w:t>
      </w:r>
    </w:p>
    <w:p>
      <w:pPr>
        <w:pStyle w:val="79"/>
        <w:suppressAutoHyphens/>
        <w:spacing w:before="0" w:beforeAutospacing="0" w:after="0" w:afterAutospacing="0" w:line="360" w:lineRule="auto"/>
        <w:ind w:firstLine="851"/>
        <w:jc w:val="both"/>
      </w:pPr>
      <w:r>
        <w:t>Размещение учреждений обслуживания периодического и эпизодического пользования принято на перспективу в соответствии с планировочной структурой села в общественном центре и подцентрах обслуживания как новых, так и реконструируемых районов. В их составе досугово-развлекательный и торгово-бытовые комплексы, рынки, автостоянки, медицинские учреждения, детские сады, школа, спортивные сооружения, парк, скверы и бульвары.</w:t>
      </w:r>
    </w:p>
    <w:p>
      <w:pPr>
        <w:pStyle w:val="79"/>
        <w:suppressAutoHyphens/>
        <w:spacing w:before="0" w:beforeAutospacing="0" w:after="0" w:afterAutospacing="0" w:line="360" w:lineRule="auto"/>
        <w:ind w:firstLine="851"/>
        <w:jc w:val="both"/>
      </w:pPr>
      <w:r>
        <w:t>Все общественные центры связаны удобными транспортными и пешеходными маршрутами с зонами отдыха на берегах озера и лимана.</w:t>
      </w:r>
    </w:p>
    <w:p>
      <w:pPr>
        <w:pStyle w:val="79"/>
        <w:suppressAutoHyphens/>
        <w:spacing w:before="0" w:beforeAutospacing="0" w:after="0" w:afterAutospacing="0" w:line="360" w:lineRule="auto"/>
        <w:ind w:firstLine="851"/>
        <w:jc w:val="both"/>
      </w:pPr>
      <w:r>
        <w:t>При размещении всех учреждений обслуживания учитывались нормативные радиусы доступности.</w:t>
      </w:r>
    </w:p>
    <w:p>
      <w:pPr>
        <w:pStyle w:val="79"/>
        <w:suppressAutoHyphens/>
        <w:spacing w:before="0" w:beforeAutospacing="0" w:after="0" w:afterAutospacing="0" w:line="360" w:lineRule="auto"/>
        <w:ind w:firstLine="851"/>
        <w:jc w:val="both"/>
      </w:pPr>
      <w:r>
        <w:t>На схеме функционального зонирования определены зоны для размещения учреждений обслуживания с выделением территорий административно-делового, общеобразовательного, торгово-бытового, культурно - просветительского, лечебно - оздоровительного, спортивно-рекреационного назначения.</w:t>
      </w:r>
    </w:p>
    <w:p>
      <w:pPr>
        <w:keepNext/>
        <w:keepLines/>
        <w:suppressAutoHyphens/>
        <w:spacing w:after="0" w:line="360" w:lineRule="auto"/>
        <w:rPr>
          <w:b/>
          <w:iCs/>
        </w:rPr>
      </w:pPr>
    </w:p>
    <w:p>
      <w:pPr>
        <w:pStyle w:val="147"/>
        <w:keepNext/>
        <w:keepLines/>
        <w:suppressAutoHyphens/>
        <w:spacing w:after="0" w:line="360" w:lineRule="auto"/>
        <w:ind w:left="0"/>
        <w:jc w:val="center"/>
        <w:rPr>
          <w:b/>
          <w:iCs/>
        </w:rPr>
      </w:pPr>
      <w:r>
        <w:rPr>
          <w:b/>
          <w:iCs/>
        </w:rPr>
        <w:t>Расчет потребности населения в учреждениях социального и культурно-бытового обслуживания</w:t>
      </w:r>
    </w:p>
    <w:p>
      <w:pPr>
        <w:pStyle w:val="147"/>
        <w:keepNext/>
        <w:keepLines/>
        <w:suppressAutoHyphens/>
        <w:spacing w:after="0" w:line="360" w:lineRule="auto"/>
        <w:ind w:left="0"/>
        <w:jc w:val="center"/>
        <w:rPr>
          <w:b/>
          <w:iCs/>
        </w:rPr>
      </w:pPr>
    </w:p>
    <w:p>
      <w:pPr>
        <w:pStyle w:val="147"/>
        <w:keepNext/>
        <w:keepLines/>
        <w:suppressAutoHyphens/>
        <w:spacing w:after="0" w:line="360" w:lineRule="auto"/>
        <w:ind w:left="0" w:firstLine="851"/>
        <w:jc w:val="both"/>
        <w:rPr>
          <w:iCs/>
        </w:rPr>
      </w:pPr>
      <w:r>
        <w:rPr>
          <w:iCs/>
        </w:rPr>
        <w:t>Формирование и развитие системы культурно-бытового обслуживания в значительной мере способствует достижению главной цели градостроительной политики муниципального образования – обеспечения комфортности проживания.</w:t>
      </w:r>
    </w:p>
    <w:p>
      <w:pPr>
        <w:pStyle w:val="147"/>
        <w:keepLines/>
        <w:suppressAutoHyphens/>
        <w:spacing w:after="0" w:line="360" w:lineRule="auto"/>
        <w:ind w:left="0" w:firstLine="851"/>
        <w:jc w:val="both"/>
        <w:rPr>
          <w:iCs/>
        </w:rPr>
      </w:pPr>
      <w:r>
        <w:rPr>
          <w:iCs/>
        </w:rPr>
        <w:t xml:space="preserve">В связи с этим, Генеральным планом для каждой группы предприятий обслуживания выработан ряд предложений, основанных на анализе существующей ситуации в разрезе муниципального образования. </w:t>
      </w:r>
    </w:p>
    <w:p>
      <w:pPr>
        <w:pStyle w:val="79"/>
        <w:suppressAutoHyphens/>
        <w:spacing w:before="0" w:beforeAutospacing="0" w:after="0" w:afterAutospacing="0" w:line="360" w:lineRule="auto"/>
        <w:ind w:firstLine="851"/>
        <w:jc w:val="both"/>
      </w:pPr>
      <w:r>
        <w:t>Расчет потребности школ производится в соответствии с демографической ситуацией села из расчета 100 % охвата детей неполным средним образованием и до 75 % детей – средним образованием. На 1000 жителей приходится 116 человек школьного возраста. Потребность в общеобразовательных школах определяется из расчета 110 учащихся на 1000 жителей.</w:t>
      </w:r>
    </w:p>
    <w:p>
      <w:pPr>
        <w:pStyle w:val="79"/>
        <w:suppressAutoHyphens/>
        <w:spacing w:before="0" w:beforeAutospacing="0" w:after="0" w:afterAutospacing="0" w:line="360" w:lineRule="auto"/>
        <w:ind w:firstLine="851"/>
        <w:jc w:val="both"/>
      </w:pPr>
      <w:r>
        <w:t>Потребность в детских дошкольных учреждениях определяется следующим образом: по данным демографии дети дошкольного возраста составляют 52 человека на 1000 жителей. Исходя из 85 % охвата детей детскими дошкольными учреждениями, нормативная потребность определена в количестве 44 места на 1000 жителей.</w:t>
      </w:r>
    </w:p>
    <w:p>
      <w:pPr>
        <w:pStyle w:val="79"/>
        <w:suppressAutoHyphens/>
        <w:spacing w:before="0" w:beforeAutospacing="0" w:after="0" w:afterAutospacing="0" w:line="360" w:lineRule="auto"/>
        <w:ind w:firstLine="851"/>
        <w:jc w:val="both"/>
      </w:pPr>
      <w:r>
        <w:t>Обеспеченность населения учреждениями и предприятиями обслуживания приводится в таблице 12.</w:t>
      </w:r>
    </w:p>
    <w:p>
      <w:pPr>
        <w:jc w:val="center"/>
        <w:rPr>
          <w:b/>
          <w:sz w:val="28"/>
          <w:szCs w:val="28"/>
          <w:highlight w:val="yellow"/>
        </w:rPr>
      </w:pPr>
    </w:p>
    <w:p>
      <w:pPr>
        <w:spacing w:line="240" w:lineRule="auto"/>
        <w:jc w:val="center"/>
        <w:rPr>
          <w:b/>
          <w:bCs/>
        </w:rPr>
      </w:pPr>
      <w:r>
        <w:rPr>
          <w:b/>
          <w:bCs/>
        </w:rPr>
        <w:t>Обеспеченность населения учреждениями обслуживания</w:t>
      </w:r>
    </w:p>
    <w:p>
      <w:pPr>
        <w:pStyle w:val="147"/>
        <w:numPr>
          <w:ilvl w:val="0"/>
          <w:numId w:val="23"/>
        </w:numPr>
        <w:ind w:right="142"/>
        <w:jc w:val="right"/>
        <w:rPr>
          <w:b/>
          <w:bCs/>
        </w:rPr>
      </w:pPr>
      <w:r>
        <w:rPr>
          <w:b/>
          <w:bCs/>
        </w:rPr>
        <w:t>Таблица 12</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7"/>
        <w:gridCol w:w="1288"/>
        <w:gridCol w:w="1299"/>
        <w:gridCol w:w="1820"/>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59" w:type="pct"/>
            <w:vMerge w:val="restart"/>
            <w:vAlign w:val="center"/>
          </w:tcPr>
          <w:p>
            <w:pPr>
              <w:jc w:val="center"/>
              <w:rPr>
                <w:b/>
              </w:rPr>
            </w:pPr>
            <w:r>
              <w:rPr>
                <w:b/>
              </w:rPr>
              <w:t>Наименование</w:t>
            </w:r>
          </w:p>
        </w:tc>
        <w:tc>
          <w:tcPr>
            <w:tcW w:w="618" w:type="pct"/>
            <w:vMerge w:val="restart"/>
            <w:vAlign w:val="center"/>
          </w:tcPr>
          <w:p>
            <w:pPr>
              <w:jc w:val="center"/>
              <w:rPr>
                <w:b/>
              </w:rPr>
            </w:pPr>
            <w:r>
              <w:rPr>
                <w:b/>
              </w:rPr>
              <w:t>Всего имеется</w:t>
            </w:r>
          </w:p>
        </w:tc>
        <w:tc>
          <w:tcPr>
            <w:tcW w:w="1496" w:type="pct"/>
            <w:gridSpan w:val="2"/>
            <w:vAlign w:val="center"/>
          </w:tcPr>
          <w:p>
            <w:pPr>
              <w:jc w:val="center"/>
              <w:rPr>
                <w:b/>
              </w:rPr>
            </w:pPr>
            <w:r>
              <w:rPr>
                <w:b/>
              </w:rPr>
              <w:t>На 1000 жителей</w:t>
            </w:r>
          </w:p>
        </w:tc>
        <w:tc>
          <w:tcPr>
            <w:tcW w:w="1126" w:type="pct"/>
            <w:vMerge w:val="restart"/>
            <w:vAlign w:val="center"/>
          </w:tcPr>
          <w:p>
            <w:pPr>
              <w:jc w:val="center"/>
              <w:rPr>
                <w:b/>
              </w:rPr>
            </w:pPr>
            <w:r>
              <w:rPr>
                <w:b/>
              </w:rPr>
              <w:t>% обеспеченности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759" w:type="pct"/>
            <w:vMerge w:val="continue"/>
          </w:tcPr>
          <w:p>
            <w:pPr>
              <w:jc w:val="both"/>
              <w:rPr>
                <w:highlight w:val="yellow"/>
              </w:rPr>
            </w:pPr>
          </w:p>
        </w:tc>
        <w:tc>
          <w:tcPr>
            <w:tcW w:w="618" w:type="pct"/>
            <w:vMerge w:val="continue"/>
          </w:tcPr>
          <w:p>
            <w:pPr>
              <w:jc w:val="both"/>
              <w:rPr>
                <w:highlight w:val="yellow"/>
              </w:rPr>
            </w:pPr>
          </w:p>
        </w:tc>
        <w:tc>
          <w:tcPr>
            <w:tcW w:w="623" w:type="pct"/>
          </w:tcPr>
          <w:p>
            <w:pPr>
              <w:jc w:val="center"/>
              <w:rPr>
                <w:b/>
              </w:rPr>
            </w:pPr>
            <w:r>
              <w:rPr>
                <w:b/>
              </w:rPr>
              <w:t>по норме</w:t>
            </w:r>
          </w:p>
        </w:tc>
        <w:tc>
          <w:tcPr>
            <w:tcW w:w="873" w:type="pct"/>
          </w:tcPr>
          <w:p>
            <w:pPr>
              <w:jc w:val="center"/>
              <w:rPr>
                <w:b/>
              </w:rPr>
            </w:pPr>
            <w:r>
              <w:rPr>
                <w:b/>
              </w:rPr>
              <w:t>фактически</w:t>
            </w:r>
          </w:p>
        </w:tc>
        <w:tc>
          <w:tcPr>
            <w:tcW w:w="1126" w:type="pct"/>
            <w:vMerge w:val="continue"/>
          </w:tcPr>
          <w:p>
            <w:pPr>
              <w:jc w:val="both"/>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759" w:type="pct"/>
          </w:tcPr>
          <w:p>
            <w:r>
              <w:t>1.Общеобразовательные школы, уч-ся</w:t>
            </w:r>
          </w:p>
        </w:tc>
        <w:tc>
          <w:tcPr>
            <w:tcW w:w="618" w:type="pct"/>
          </w:tcPr>
          <w:p>
            <w:pPr>
              <w:jc w:val="center"/>
              <w:rPr>
                <w:color w:val="000000"/>
              </w:rPr>
            </w:pPr>
          </w:p>
          <w:p>
            <w:pPr>
              <w:jc w:val="center"/>
              <w:rPr>
                <w:color w:val="000000"/>
              </w:rPr>
            </w:pPr>
            <w:r>
              <w:rPr>
                <w:color w:val="000000"/>
              </w:rPr>
              <w:t>352</w:t>
            </w:r>
          </w:p>
        </w:tc>
        <w:tc>
          <w:tcPr>
            <w:tcW w:w="623" w:type="pct"/>
          </w:tcPr>
          <w:p>
            <w:pPr>
              <w:jc w:val="center"/>
              <w:rPr>
                <w:color w:val="000000"/>
                <w:highlight w:val="yellow"/>
              </w:rPr>
            </w:pPr>
          </w:p>
          <w:p>
            <w:pPr>
              <w:jc w:val="center"/>
              <w:rPr>
                <w:color w:val="000000"/>
                <w:highlight w:val="yellow"/>
              </w:rPr>
            </w:pPr>
            <w:r>
              <w:rPr>
                <w:color w:val="000000"/>
              </w:rPr>
              <w:t>110</w:t>
            </w:r>
          </w:p>
        </w:tc>
        <w:tc>
          <w:tcPr>
            <w:tcW w:w="873" w:type="pct"/>
          </w:tcPr>
          <w:p>
            <w:pPr>
              <w:jc w:val="center"/>
              <w:rPr>
                <w:color w:val="000000"/>
                <w:highlight w:val="yellow"/>
              </w:rPr>
            </w:pPr>
          </w:p>
          <w:p>
            <w:pPr>
              <w:jc w:val="center"/>
              <w:rPr>
                <w:color w:val="000000"/>
                <w:highlight w:val="yellow"/>
              </w:rPr>
            </w:pPr>
            <w:r>
              <w:rPr>
                <w:color w:val="000000"/>
              </w:rPr>
              <w:t>156</w:t>
            </w:r>
          </w:p>
        </w:tc>
        <w:tc>
          <w:tcPr>
            <w:tcW w:w="1126" w:type="pct"/>
          </w:tcPr>
          <w:p>
            <w:pPr>
              <w:jc w:val="center"/>
              <w:rPr>
                <w:color w:val="000000"/>
                <w:highlight w:val="yellow"/>
              </w:rPr>
            </w:pPr>
          </w:p>
          <w:p>
            <w:pPr>
              <w:jc w:val="center"/>
              <w:rPr>
                <w:color w:val="000000"/>
                <w:highlight w:val="yellow"/>
              </w:rPr>
            </w:pPr>
            <w:r>
              <w:rPr>
                <w:color w:val="000000"/>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759" w:type="pct"/>
          </w:tcPr>
          <w:p>
            <w:r>
              <w:t>2. Детские дошкольные учреждения, мест</w:t>
            </w:r>
          </w:p>
        </w:tc>
        <w:tc>
          <w:tcPr>
            <w:tcW w:w="618" w:type="pct"/>
          </w:tcPr>
          <w:p>
            <w:pPr>
              <w:jc w:val="center"/>
              <w:rPr>
                <w:color w:val="000000"/>
              </w:rPr>
            </w:pPr>
          </w:p>
          <w:p>
            <w:pPr>
              <w:jc w:val="center"/>
              <w:rPr>
                <w:color w:val="000000"/>
              </w:rPr>
            </w:pPr>
            <w:r>
              <w:rPr>
                <w:color w:val="000000"/>
              </w:rPr>
              <w:t>160</w:t>
            </w:r>
          </w:p>
        </w:tc>
        <w:tc>
          <w:tcPr>
            <w:tcW w:w="623" w:type="pct"/>
          </w:tcPr>
          <w:p>
            <w:pPr>
              <w:jc w:val="center"/>
              <w:rPr>
                <w:color w:val="000000"/>
                <w:highlight w:val="yellow"/>
              </w:rPr>
            </w:pPr>
          </w:p>
          <w:p>
            <w:pPr>
              <w:jc w:val="center"/>
              <w:rPr>
                <w:color w:val="000000"/>
                <w:highlight w:val="yellow"/>
              </w:rPr>
            </w:pPr>
            <w:r>
              <w:rPr>
                <w:color w:val="000000"/>
              </w:rPr>
              <w:t>44</w:t>
            </w:r>
          </w:p>
        </w:tc>
        <w:tc>
          <w:tcPr>
            <w:tcW w:w="873" w:type="pct"/>
          </w:tcPr>
          <w:p>
            <w:pPr>
              <w:jc w:val="center"/>
              <w:rPr>
                <w:color w:val="000000"/>
                <w:highlight w:val="yellow"/>
              </w:rPr>
            </w:pPr>
          </w:p>
          <w:p>
            <w:pPr>
              <w:jc w:val="center"/>
              <w:rPr>
                <w:color w:val="000000"/>
                <w:highlight w:val="yellow"/>
              </w:rPr>
            </w:pPr>
            <w:r>
              <w:rPr>
                <w:color w:val="000000"/>
              </w:rPr>
              <w:t>71</w:t>
            </w:r>
          </w:p>
        </w:tc>
        <w:tc>
          <w:tcPr>
            <w:tcW w:w="1126" w:type="pct"/>
          </w:tcPr>
          <w:p>
            <w:pPr>
              <w:jc w:val="center"/>
              <w:rPr>
                <w:color w:val="000000"/>
                <w:highlight w:val="yellow"/>
              </w:rPr>
            </w:pPr>
          </w:p>
          <w:p>
            <w:pPr>
              <w:jc w:val="center"/>
              <w:rPr>
                <w:color w:val="000000"/>
                <w:highlight w:val="yellow"/>
              </w:rPr>
            </w:pPr>
            <w:r>
              <w:rPr>
                <w:color w:val="000000"/>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759" w:type="pct"/>
          </w:tcPr>
          <w:p>
            <w:r>
              <w:t>3. Поликлиники, посещений в смену</w:t>
            </w:r>
          </w:p>
        </w:tc>
        <w:tc>
          <w:tcPr>
            <w:tcW w:w="618" w:type="pct"/>
          </w:tcPr>
          <w:p>
            <w:pPr>
              <w:jc w:val="center"/>
              <w:rPr>
                <w:color w:val="000000"/>
              </w:rPr>
            </w:pPr>
          </w:p>
          <w:p>
            <w:pPr>
              <w:jc w:val="center"/>
              <w:rPr>
                <w:color w:val="000000"/>
              </w:rPr>
            </w:pPr>
            <w:r>
              <w:rPr>
                <w:color w:val="000000"/>
              </w:rPr>
              <w:t>25</w:t>
            </w:r>
          </w:p>
        </w:tc>
        <w:tc>
          <w:tcPr>
            <w:tcW w:w="623" w:type="pct"/>
          </w:tcPr>
          <w:p>
            <w:pPr>
              <w:jc w:val="center"/>
              <w:rPr>
                <w:color w:val="000000"/>
              </w:rPr>
            </w:pPr>
          </w:p>
          <w:p>
            <w:pPr>
              <w:jc w:val="center"/>
              <w:rPr>
                <w:color w:val="000000"/>
              </w:rPr>
            </w:pPr>
            <w:r>
              <w:rPr>
                <w:color w:val="000000"/>
              </w:rPr>
              <w:t>18,15</w:t>
            </w:r>
          </w:p>
        </w:tc>
        <w:tc>
          <w:tcPr>
            <w:tcW w:w="873" w:type="pct"/>
          </w:tcPr>
          <w:p>
            <w:pPr>
              <w:jc w:val="center"/>
              <w:rPr>
                <w:color w:val="000000"/>
                <w:highlight w:val="yellow"/>
              </w:rPr>
            </w:pPr>
          </w:p>
          <w:p>
            <w:pPr>
              <w:jc w:val="center"/>
              <w:rPr>
                <w:color w:val="000000"/>
                <w:highlight w:val="yellow"/>
              </w:rPr>
            </w:pPr>
            <w:r>
              <w:rPr>
                <w:color w:val="000000"/>
              </w:rPr>
              <w:t>11</w:t>
            </w:r>
          </w:p>
        </w:tc>
        <w:tc>
          <w:tcPr>
            <w:tcW w:w="1126" w:type="pct"/>
          </w:tcPr>
          <w:p>
            <w:pPr>
              <w:jc w:val="center"/>
              <w:rPr>
                <w:color w:val="000000"/>
                <w:highlight w:val="yellow"/>
              </w:rPr>
            </w:pPr>
          </w:p>
          <w:p>
            <w:pPr>
              <w:jc w:val="center"/>
              <w:rPr>
                <w:color w:val="000000"/>
                <w:highlight w:val="yellow"/>
              </w:rPr>
            </w:pPr>
            <w:r>
              <w:rPr>
                <w:color w:val="000000"/>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59" w:type="pct"/>
          </w:tcPr>
          <w:p>
            <w:r>
              <w:t>4. Больницы, коек</w:t>
            </w:r>
          </w:p>
        </w:tc>
        <w:tc>
          <w:tcPr>
            <w:tcW w:w="618" w:type="pct"/>
          </w:tcPr>
          <w:p>
            <w:pPr>
              <w:jc w:val="center"/>
              <w:rPr>
                <w:color w:val="000000"/>
              </w:rPr>
            </w:pPr>
            <w:r>
              <w:rPr>
                <w:color w:val="000000"/>
              </w:rPr>
              <w:t>35</w:t>
            </w:r>
          </w:p>
        </w:tc>
        <w:tc>
          <w:tcPr>
            <w:tcW w:w="623" w:type="pct"/>
          </w:tcPr>
          <w:p>
            <w:pPr>
              <w:jc w:val="center"/>
              <w:rPr>
                <w:color w:val="000000"/>
              </w:rPr>
            </w:pPr>
            <w:r>
              <w:rPr>
                <w:color w:val="000000"/>
              </w:rPr>
              <w:t>13,47</w:t>
            </w:r>
          </w:p>
        </w:tc>
        <w:tc>
          <w:tcPr>
            <w:tcW w:w="873" w:type="pct"/>
          </w:tcPr>
          <w:p>
            <w:pPr>
              <w:jc w:val="center"/>
              <w:rPr>
                <w:color w:val="000000"/>
                <w:highlight w:val="yellow"/>
              </w:rPr>
            </w:pPr>
            <w:r>
              <w:rPr>
                <w:color w:val="000000"/>
              </w:rPr>
              <w:t>16</w:t>
            </w:r>
          </w:p>
        </w:tc>
        <w:tc>
          <w:tcPr>
            <w:tcW w:w="1126" w:type="pct"/>
          </w:tcPr>
          <w:p>
            <w:pPr>
              <w:jc w:val="center"/>
              <w:rPr>
                <w:color w:val="000000"/>
                <w:highlight w:val="yellow"/>
              </w:rPr>
            </w:pPr>
            <w:r>
              <w:rPr>
                <w:color w:val="000000"/>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59" w:type="pct"/>
          </w:tcPr>
          <w:p>
            <w:r>
              <w:t>5. Клубы, мест</w:t>
            </w:r>
          </w:p>
        </w:tc>
        <w:tc>
          <w:tcPr>
            <w:tcW w:w="618" w:type="pct"/>
          </w:tcPr>
          <w:p>
            <w:pPr>
              <w:jc w:val="center"/>
              <w:rPr>
                <w:color w:val="000000"/>
              </w:rPr>
            </w:pPr>
            <w:r>
              <w:rPr>
                <w:color w:val="000000"/>
              </w:rPr>
              <w:t>350</w:t>
            </w:r>
          </w:p>
        </w:tc>
        <w:tc>
          <w:tcPr>
            <w:tcW w:w="623" w:type="pct"/>
          </w:tcPr>
          <w:p>
            <w:pPr>
              <w:jc w:val="center"/>
              <w:rPr>
                <w:highlight w:val="yellow"/>
              </w:rPr>
            </w:pPr>
            <w:r>
              <w:t>150</w:t>
            </w:r>
          </w:p>
        </w:tc>
        <w:tc>
          <w:tcPr>
            <w:tcW w:w="873" w:type="pct"/>
          </w:tcPr>
          <w:p>
            <w:pPr>
              <w:jc w:val="center"/>
              <w:rPr>
                <w:highlight w:val="yellow"/>
              </w:rPr>
            </w:pPr>
            <w:r>
              <w:t>156</w:t>
            </w:r>
          </w:p>
        </w:tc>
        <w:tc>
          <w:tcPr>
            <w:tcW w:w="1126" w:type="pct"/>
          </w:tcPr>
          <w:p>
            <w:pPr>
              <w:jc w:val="center"/>
              <w:rPr>
                <w:highlight w:val="yellow"/>
              </w:rPr>
            </w:pPr>
            <w: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759" w:type="pct"/>
          </w:tcPr>
          <w:p>
            <w:r>
              <w:t>6. Магазины продовольственных и промышленных товаров, м</w:t>
            </w:r>
            <w:r>
              <w:rPr>
                <w:vertAlign w:val="superscript"/>
              </w:rPr>
              <w:t>2</w:t>
            </w:r>
            <w:r>
              <w:t xml:space="preserve"> торг. пл.</w:t>
            </w:r>
          </w:p>
        </w:tc>
        <w:tc>
          <w:tcPr>
            <w:tcW w:w="618" w:type="pct"/>
          </w:tcPr>
          <w:p>
            <w:pPr>
              <w:jc w:val="center"/>
              <w:rPr>
                <w:color w:val="000000"/>
              </w:rPr>
            </w:pPr>
          </w:p>
          <w:p>
            <w:pPr>
              <w:jc w:val="center"/>
              <w:rPr>
                <w:color w:val="000000"/>
              </w:rPr>
            </w:pPr>
          </w:p>
          <w:p>
            <w:pPr>
              <w:jc w:val="center"/>
              <w:rPr>
                <w:color w:val="000000"/>
              </w:rPr>
            </w:pPr>
            <w:r>
              <w:rPr>
                <w:color w:val="000000"/>
              </w:rPr>
              <w:t>69</w:t>
            </w:r>
          </w:p>
        </w:tc>
        <w:tc>
          <w:tcPr>
            <w:tcW w:w="623" w:type="pct"/>
          </w:tcPr>
          <w:p>
            <w:pPr>
              <w:jc w:val="center"/>
              <w:rPr>
                <w:color w:val="000000"/>
                <w:highlight w:val="yellow"/>
              </w:rPr>
            </w:pPr>
          </w:p>
          <w:p>
            <w:pPr>
              <w:jc w:val="center"/>
              <w:rPr>
                <w:color w:val="000000"/>
                <w:highlight w:val="yellow"/>
              </w:rPr>
            </w:pPr>
          </w:p>
          <w:p>
            <w:pPr>
              <w:jc w:val="center"/>
              <w:rPr>
                <w:color w:val="000000"/>
                <w:highlight w:val="yellow"/>
              </w:rPr>
            </w:pPr>
            <w:r>
              <w:rPr>
                <w:color w:val="000000"/>
              </w:rPr>
              <w:t>300</w:t>
            </w:r>
          </w:p>
        </w:tc>
        <w:tc>
          <w:tcPr>
            <w:tcW w:w="873" w:type="pct"/>
          </w:tcPr>
          <w:p>
            <w:pPr>
              <w:jc w:val="center"/>
              <w:rPr>
                <w:color w:val="000000"/>
                <w:highlight w:val="yellow"/>
              </w:rPr>
            </w:pPr>
          </w:p>
          <w:p>
            <w:pPr>
              <w:jc w:val="center"/>
              <w:rPr>
                <w:color w:val="000000"/>
                <w:highlight w:val="yellow"/>
              </w:rPr>
            </w:pPr>
          </w:p>
          <w:p>
            <w:pPr>
              <w:jc w:val="center"/>
              <w:rPr>
                <w:color w:val="000000"/>
                <w:highlight w:val="yellow"/>
              </w:rPr>
            </w:pPr>
            <w:r>
              <w:rPr>
                <w:color w:val="000000"/>
              </w:rPr>
              <w:t>31</w:t>
            </w:r>
          </w:p>
        </w:tc>
        <w:tc>
          <w:tcPr>
            <w:tcW w:w="1126" w:type="pct"/>
          </w:tcPr>
          <w:p>
            <w:pPr>
              <w:jc w:val="center"/>
              <w:rPr>
                <w:color w:val="000000"/>
                <w:highlight w:val="yellow"/>
              </w:rPr>
            </w:pPr>
          </w:p>
          <w:p>
            <w:pPr>
              <w:jc w:val="center"/>
              <w:rPr>
                <w:color w:val="000000"/>
                <w:highlight w:val="yellow"/>
              </w:rPr>
            </w:pPr>
          </w:p>
          <w:p>
            <w:pPr>
              <w:jc w:val="center"/>
              <w:rPr>
                <w:color w:val="000000"/>
                <w:highlight w:val="yellow"/>
              </w:rPr>
            </w:pPr>
            <w:r>
              <w:rPr>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59" w:type="pct"/>
          </w:tcPr>
          <w:p>
            <w:r>
              <w:t>7. Предприятия общепита, мест</w:t>
            </w:r>
          </w:p>
        </w:tc>
        <w:tc>
          <w:tcPr>
            <w:tcW w:w="618" w:type="pct"/>
          </w:tcPr>
          <w:p>
            <w:pPr>
              <w:jc w:val="center"/>
              <w:rPr>
                <w:color w:val="000000"/>
              </w:rPr>
            </w:pPr>
          </w:p>
          <w:p>
            <w:pPr>
              <w:jc w:val="center"/>
              <w:rPr>
                <w:color w:val="000000"/>
              </w:rPr>
            </w:pPr>
            <w:r>
              <w:rPr>
                <w:color w:val="000000"/>
              </w:rPr>
              <w:t>0</w:t>
            </w:r>
          </w:p>
        </w:tc>
        <w:tc>
          <w:tcPr>
            <w:tcW w:w="623" w:type="pct"/>
          </w:tcPr>
          <w:p>
            <w:pPr>
              <w:jc w:val="center"/>
              <w:rPr>
                <w:color w:val="000000"/>
              </w:rPr>
            </w:pPr>
          </w:p>
          <w:p>
            <w:pPr>
              <w:jc w:val="center"/>
              <w:rPr>
                <w:color w:val="000000"/>
              </w:rPr>
            </w:pPr>
            <w:r>
              <w:rPr>
                <w:color w:val="000000"/>
              </w:rPr>
              <w:t>40</w:t>
            </w:r>
          </w:p>
        </w:tc>
        <w:tc>
          <w:tcPr>
            <w:tcW w:w="873" w:type="pct"/>
          </w:tcPr>
          <w:p>
            <w:pPr>
              <w:jc w:val="center"/>
              <w:rPr>
                <w:color w:val="000000"/>
              </w:rPr>
            </w:pPr>
          </w:p>
          <w:p>
            <w:pPr>
              <w:jc w:val="center"/>
              <w:rPr>
                <w:color w:val="000000"/>
              </w:rPr>
            </w:pPr>
            <w:r>
              <w:rPr>
                <w:color w:val="000000"/>
              </w:rPr>
              <w:t>0</w:t>
            </w:r>
          </w:p>
        </w:tc>
        <w:tc>
          <w:tcPr>
            <w:tcW w:w="1126" w:type="pct"/>
          </w:tcPr>
          <w:p>
            <w:pPr>
              <w:jc w:val="center"/>
              <w:rPr>
                <w:color w:val="000000"/>
              </w:rPr>
            </w:pPr>
          </w:p>
          <w:p>
            <w:pPr>
              <w:jc w:val="center"/>
              <w:rPr>
                <w:color w:val="000000"/>
              </w:rPr>
            </w:pPr>
            <w:r>
              <w:rPr>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59" w:type="pct"/>
          </w:tcPr>
          <w:p>
            <w:r>
              <w:t>8. Бани, мест</w:t>
            </w:r>
          </w:p>
        </w:tc>
        <w:tc>
          <w:tcPr>
            <w:tcW w:w="618" w:type="pct"/>
          </w:tcPr>
          <w:p>
            <w:pPr>
              <w:jc w:val="center"/>
            </w:pPr>
            <w:r>
              <w:t>0</w:t>
            </w:r>
          </w:p>
        </w:tc>
        <w:tc>
          <w:tcPr>
            <w:tcW w:w="623" w:type="pct"/>
          </w:tcPr>
          <w:p>
            <w:pPr>
              <w:jc w:val="center"/>
            </w:pPr>
            <w:r>
              <w:t>7</w:t>
            </w:r>
          </w:p>
        </w:tc>
        <w:tc>
          <w:tcPr>
            <w:tcW w:w="873" w:type="pct"/>
          </w:tcPr>
          <w:p>
            <w:pPr>
              <w:jc w:val="center"/>
              <w:rPr>
                <w:color w:val="000000"/>
              </w:rPr>
            </w:pPr>
            <w:r>
              <w:rPr>
                <w:color w:val="000000"/>
              </w:rPr>
              <w:t>0</w:t>
            </w:r>
          </w:p>
        </w:tc>
        <w:tc>
          <w:tcPr>
            <w:tcW w:w="1126" w:type="pct"/>
          </w:tcPr>
          <w:p>
            <w:pPr>
              <w:jc w:val="center"/>
              <w:rPr>
                <w:color w:val="000000"/>
              </w:rPr>
            </w:pPr>
            <w:r>
              <w:rPr>
                <w:color w:val="000000"/>
              </w:rPr>
              <w:t>0</w:t>
            </w:r>
          </w:p>
        </w:tc>
      </w:tr>
    </w:tbl>
    <w:p>
      <w:pPr>
        <w:pStyle w:val="147"/>
        <w:keepNext/>
        <w:keepLines/>
        <w:suppressAutoHyphens/>
        <w:spacing w:after="0" w:line="360" w:lineRule="auto"/>
        <w:ind w:left="0"/>
        <w:jc w:val="center"/>
        <w:rPr>
          <w:b/>
          <w:iCs/>
        </w:rPr>
      </w:pPr>
    </w:p>
    <w:p>
      <w:pPr>
        <w:pStyle w:val="147"/>
        <w:keepLines/>
        <w:suppressAutoHyphens/>
        <w:spacing w:after="0" w:line="360" w:lineRule="auto"/>
        <w:ind w:left="0" w:firstLine="851"/>
        <w:jc w:val="both"/>
      </w:pPr>
      <w:r>
        <w:t>Ниже в таблице 13 приводится перечень проектируемых объектов обслуживания населения села Ейское Укрепление.</w:t>
      </w:r>
    </w:p>
    <w:p>
      <w:pPr>
        <w:spacing w:line="240" w:lineRule="auto"/>
        <w:jc w:val="center"/>
        <w:rPr>
          <w:b/>
          <w:bCs/>
        </w:rPr>
      </w:pPr>
      <w:r>
        <w:rPr>
          <w:b/>
          <w:bCs/>
        </w:rPr>
        <w:t xml:space="preserve">Перечень </w:t>
      </w:r>
      <w:r>
        <w:rPr>
          <w:b/>
        </w:rPr>
        <w:t>п</w:t>
      </w:r>
      <w:r>
        <w:rPr>
          <w:b/>
          <w:bCs/>
        </w:rPr>
        <w:t>роектируемых объектов обслуживания села Ейское Укрепление</w:t>
      </w:r>
    </w:p>
    <w:p>
      <w:pPr>
        <w:pStyle w:val="147"/>
        <w:numPr>
          <w:ilvl w:val="0"/>
          <w:numId w:val="23"/>
        </w:numPr>
        <w:ind w:right="142"/>
        <w:jc w:val="right"/>
        <w:rPr>
          <w:b/>
          <w:bCs/>
        </w:rPr>
      </w:pPr>
      <w:r>
        <w:rPr>
          <w:b/>
          <w:bCs/>
        </w:rPr>
        <w:t>Таблица 13</w:t>
      </w:r>
    </w:p>
    <w:tbl>
      <w:tblPr>
        <w:tblStyle w:val="3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5540"/>
        <w:gridCol w:w="1564"/>
        <w:gridCol w:w="1036"/>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8" w:type="pct"/>
            <w:vAlign w:val="center"/>
          </w:tcPr>
          <w:p>
            <w:pPr>
              <w:snapToGrid w:val="0"/>
              <w:jc w:val="center"/>
              <w:rPr>
                <w:b/>
                <w:bCs/>
                <w:cs/>
              </w:rPr>
            </w:pPr>
            <w:r>
              <w:rPr>
                <w:b/>
                <w:bCs/>
                <w:cs/>
              </w:rPr>
              <w:t>№ п/п</w:t>
            </w:r>
          </w:p>
        </w:tc>
        <w:tc>
          <w:tcPr>
            <w:tcW w:w="2657" w:type="pct"/>
            <w:vAlign w:val="center"/>
          </w:tcPr>
          <w:p>
            <w:pPr>
              <w:snapToGrid w:val="0"/>
              <w:jc w:val="center"/>
              <w:rPr>
                <w:b/>
                <w:bCs/>
                <w:cs/>
              </w:rPr>
            </w:pPr>
            <w:r>
              <w:rPr>
                <w:b/>
                <w:bCs/>
                <w:cs/>
              </w:rPr>
              <w:t>Наименование</w:t>
            </w:r>
          </w:p>
        </w:tc>
        <w:tc>
          <w:tcPr>
            <w:tcW w:w="750" w:type="pct"/>
            <w:vAlign w:val="center"/>
          </w:tcPr>
          <w:p>
            <w:pPr>
              <w:snapToGrid w:val="0"/>
              <w:jc w:val="center"/>
              <w:rPr>
                <w:b/>
                <w:bCs/>
                <w:cs/>
              </w:rPr>
            </w:pPr>
            <w:r>
              <w:rPr>
                <w:b/>
                <w:bCs/>
                <w:cs/>
              </w:rPr>
              <w:t>Количество</w:t>
            </w:r>
          </w:p>
        </w:tc>
        <w:tc>
          <w:tcPr>
            <w:tcW w:w="497" w:type="pct"/>
            <w:vAlign w:val="center"/>
          </w:tcPr>
          <w:p>
            <w:pPr>
              <w:snapToGrid w:val="0"/>
              <w:jc w:val="center"/>
              <w:rPr>
                <w:b/>
                <w:bCs/>
                <w:cs/>
              </w:rPr>
            </w:pPr>
            <w:r>
              <w:rPr>
                <w:b/>
                <w:bCs/>
                <w:cs/>
              </w:rPr>
              <w:t>Этаж.</w:t>
            </w:r>
          </w:p>
        </w:tc>
        <w:tc>
          <w:tcPr>
            <w:tcW w:w="796" w:type="pct"/>
            <w:vAlign w:val="center"/>
          </w:tcPr>
          <w:p>
            <w:pPr>
              <w:jc w:val="center"/>
              <w:rPr>
                <w:b/>
                <w:bCs/>
                <w:cs/>
              </w:rPr>
            </w:pPr>
            <w:r>
              <w:rPr>
                <w:b/>
                <w:bCs/>
                <w:cs/>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w:t>
            </w:r>
          </w:p>
        </w:tc>
        <w:tc>
          <w:tcPr>
            <w:tcW w:w="2657" w:type="pct"/>
          </w:tcPr>
          <w:p>
            <w:pPr>
              <w:snapToGrid w:val="0"/>
              <w:rPr>
                <w:cs/>
              </w:rPr>
            </w:pPr>
            <w:r>
              <w:rPr>
                <w:cs/>
              </w:rPr>
              <w:t>Общественный центр в составе:</w:t>
            </w:r>
          </w:p>
          <w:p>
            <w:pPr>
              <w:snapToGrid w:val="0"/>
              <w:rPr>
                <w:cs/>
              </w:rPr>
            </w:pPr>
            <w:r>
              <w:rPr>
                <w:cs/>
              </w:rPr>
              <w:t>музей, отделение связи, магазины,</w:t>
            </w:r>
          </w:p>
          <w:p>
            <w:pPr>
              <w:snapToGrid w:val="0"/>
              <w:rPr>
                <w:cs/>
              </w:rPr>
            </w:pPr>
            <w:r>
              <w:rPr>
                <w:cs/>
              </w:rPr>
              <w:t xml:space="preserve"> кафе, аптека, приемный пункт КБО</w:t>
            </w:r>
          </w:p>
        </w:tc>
        <w:tc>
          <w:tcPr>
            <w:tcW w:w="750" w:type="pct"/>
          </w:tcPr>
          <w:p>
            <w:pPr>
              <w:snapToGrid w:val="0"/>
              <w:jc w:val="center"/>
              <w:rPr>
                <w:cs/>
              </w:rPr>
            </w:pPr>
            <w:r>
              <w:rPr>
                <w:cs/>
              </w:rPr>
              <w:t>4</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2</w:t>
            </w:r>
          </w:p>
        </w:tc>
        <w:tc>
          <w:tcPr>
            <w:tcW w:w="2657" w:type="pct"/>
          </w:tcPr>
          <w:p>
            <w:pPr>
              <w:snapToGrid w:val="0"/>
              <w:rPr>
                <w:cs/>
              </w:rPr>
            </w:pPr>
            <w:r>
              <w:rPr>
                <w:cs/>
              </w:rPr>
              <w:t>Объекты общественного назначения</w:t>
            </w:r>
          </w:p>
        </w:tc>
        <w:tc>
          <w:tcPr>
            <w:tcW w:w="750" w:type="pct"/>
          </w:tcPr>
          <w:p>
            <w:pPr>
              <w:snapToGrid w:val="0"/>
              <w:jc w:val="center"/>
              <w:rPr>
                <w:cs/>
              </w:rPr>
            </w:pPr>
            <w:r>
              <w:rPr>
                <w:cs/>
              </w:rPr>
              <w:t>7</w:t>
            </w:r>
          </w:p>
        </w:tc>
        <w:tc>
          <w:tcPr>
            <w:tcW w:w="497" w:type="pct"/>
          </w:tcPr>
          <w:p>
            <w:pPr>
              <w:snapToGrid w:val="0"/>
              <w:jc w:val="center"/>
              <w:rPr>
                <w:cs/>
              </w:rPr>
            </w:pPr>
            <w:r>
              <w:rPr>
                <w:cs/>
              </w:rPr>
              <w:t>1-2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3</w:t>
            </w:r>
          </w:p>
        </w:tc>
        <w:tc>
          <w:tcPr>
            <w:tcW w:w="2657" w:type="pct"/>
          </w:tcPr>
          <w:p>
            <w:pPr>
              <w:snapToGrid w:val="0"/>
              <w:rPr>
                <w:cs/>
              </w:rPr>
            </w:pPr>
            <w:r>
              <w:rPr>
                <w:cs/>
              </w:rPr>
              <w:t>Общественный центр производственной зоны</w:t>
            </w:r>
          </w:p>
        </w:tc>
        <w:tc>
          <w:tcPr>
            <w:tcW w:w="750" w:type="pct"/>
          </w:tcPr>
          <w:p>
            <w:pPr>
              <w:snapToGrid w:val="0"/>
              <w:jc w:val="center"/>
              <w:rPr>
                <w:cs/>
              </w:rPr>
            </w:pPr>
            <w:r>
              <w:rPr>
                <w:cs/>
              </w:rPr>
              <w:t>2</w:t>
            </w:r>
          </w:p>
        </w:tc>
        <w:tc>
          <w:tcPr>
            <w:tcW w:w="497" w:type="pct"/>
          </w:tcPr>
          <w:p>
            <w:pPr>
              <w:snapToGrid w:val="0"/>
              <w:jc w:val="center"/>
              <w:rPr>
                <w:cs/>
              </w:rPr>
            </w:pPr>
            <w:r>
              <w:rPr>
                <w:cs/>
              </w:rPr>
              <w:t>1-2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4</w:t>
            </w:r>
          </w:p>
        </w:tc>
        <w:tc>
          <w:tcPr>
            <w:tcW w:w="2657" w:type="pct"/>
          </w:tcPr>
          <w:p>
            <w:pPr>
              <w:snapToGrid w:val="0"/>
              <w:rPr>
                <w:cs/>
              </w:rPr>
            </w:pPr>
            <w:r>
              <w:rPr>
                <w:cs/>
              </w:rPr>
              <w:t>Дворец бракосочетания</w:t>
            </w:r>
          </w:p>
        </w:tc>
        <w:tc>
          <w:tcPr>
            <w:tcW w:w="750" w:type="pct"/>
          </w:tcPr>
          <w:p>
            <w:pPr>
              <w:snapToGrid w:val="0"/>
              <w:jc w:val="center"/>
              <w:rPr>
                <w:cs/>
              </w:rPr>
            </w:pPr>
            <w:r>
              <w:rPr>
                <w:cs/>
              </w:rPr>
              <w:t>1</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5</w:t>
            </w:r>
          </w:p>
        </w:tc>
        <w:tc>
          <w:tcPr>
            <w:tcW w:w="2657" w:type="pct"/>
          </w:tcPr>
          <w:p>
            <w:pPr>
              <w:snapToGrid w:val="0"/>
              <w:rPr>
                <w:cs/>
              </w:rPr>
            </w:pPr>
            <w:r>
              <w:rPr>
                <w:cs/>
              </w:rPr>
              <w:t>Культурно-развлекательный центр</w:t>
            </w:r>
          </w:p>
        </w:tc>
        <w:tc>
          <w:tcPr>
            <w:tcW w:w="750" w:type="pct"/>
          </w:tcPr>
          <w:p>
            <w:pPr>
              <w:snapToGrid w:val="0"/>
              <w:jc w:val="center"/>
              <w:rPr>
                <w:cs/>
              </w:rPr>
            </w:pPr>
          </w:p>
        </w:tc>
        <w:tc>
          <w:tcPr>
            <w:tcW w:w="497" w:type="pct"/>
          </w:tcPr>
          <w:p>
            <w:pPr>
              <w:snapToGrid w:val="0"/>
              <w:jc w:val="center"/>
              <w:rPr>
                <w:cs/>
              </w:rPr>
            </w:pP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6</w:t>
            </w:r>
          </w:p>
        </w:tc>
        <w:tc>
          <w:tcPr>
            <w:tcW w:w="2657" w:type="pct"/>
          </w:tcPr>
          <w:p>
            <w:pPr>
              <w:snapToGrid w:val="0"/>
              <w:rPr>
                <w:cs/>
              </w:rPr>
            </w:pPr>
            <w:r>
              <w:rPr>
                <w:cs/>
              </w:rPr>
              <w:t>Детский сад</w:t>
            </w:r>
          </w:p>
        </w:tc>
        <w:tc>
          <w:tcPr>
            <w:tcW w:w="750" w:type="pct"/>
          </w:tcPr>
          <w:p>
            <w:pPr>
              <w:snapToGrid w:val="0"/>
              <w:jc w:val="center"/>
              <w:rPr>
                <w:cs/>
              </w:rPr>
            </w:pPr>
            <w:r>
              <w:rPr>
                <w:cs/>
              </w:rPr>
              <w:t>10</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7</w:t>
            </w:r>
          </w:p>
        </w:tc>
        <w:tc>
          <w:tcPr>
            <w:tcW w:w="2657" w:type="pct"/>
          </w:tcPr>
          <w:p>
            <w:pPr>
              <w:snapToGrid w:val="0"/>
              <w:rPr>
                <w:cs/>
              </w:rPr>
            </w:pPr>
            <w:r>
              <w:rPr>
                <w:cs/>
              </w:rPr>
              <w:t>Общеобразовательная средняя школа</w:t>
            </w:r>
          </w:p>
        </w:tc>
        <w:tc>
          <w:tcPr>
            <w:tcW w:w="750" w:type="pct"/>
          </w:tcPr>
          <w:p>
            <w:pPr>
              <w:snapToGrid w:val="0"/>
              <w:jc w:val="center"/>
              <w:rPr>
                <w:cs/>
              </w:rPr>
            </w:pPr>
            <w:r>
              <w:rPr>
                <w:cs/>
              </w:rPr>
              <w:t>2</w:t>
            </w:r>
          </w:p>
        </w:tc>
        <w:tc>
          <w:tcPr>
            <w:tcW w:w="497" w:type="pct"/>
          </w:tcPr>
          <w:p>
            <w:pPr>
              <w:snapToGrid w:val="0"/>
              <w:jc w:val="center"/>
              <w:rPr>
                <w:cs/>
              </w:rPr>
            </w:pPr>
            <w:r>
              <w:rPr>
                <w:cs/>
              </w:rPr>
              <w:t>3</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8</w:t>
            </w:r>
          </w:p>
        </w:tc>
        <w:tc>
          <w:tcPr>
            <w:tcW w:w="2657" w:type="pct"/>
          </w:tcPr>
          <w:p>
            <w:pPr>
              <w:snapToGrid w:val="0"/>
              <w:rPr>
                <w:cs/>
              </w:rPr>
            </w:pPr>
            <w:r>
              <w:rPr>
                <w:cs/>
              </w:rPr>
              <w:t>Школа искусств</w:t>
            </w:r>
          </w:p>
        </w:tc>
        <w:tc>
          <w:tcPr>
            <w:tcW w:w="750" w:type="pct"/>
          </w:tcPr>
          <w:p>
            <w:pPr>
              <w:snapToGrid w:val="0"/>
              <w:jc w:val="center"/>
              <w:rPr>
                <w:cs/>
              </w:rPr>
            </w:pPr>
            <w:r>
              <w:rPr>
                <w:cs/>
              </w:rPr>
              <w:t>1</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9</w:t>
            </w:r>
          </w:p>
        </w:tc>
        <w:tc>
          <w:tcPr>
            <w:tcW w:w="2657" w:type="pct"/>
          </w:tcPr>
          <w:p>
            <w:pPr>
              <w:snapToGrid w:val="0"/>
              <w:rPr>
                <w:cs/>
              </w:rPr>
            </w:pPr>
            <w:r>
              <w:rPr>
                <w:cs/>
              </w:rPr>
              <w:t>Межшкольный учебно-производственный комбинат с автошколой</w:t>
            </w:r>
          </w:p>
        </w:tc>
        <w:tc>
          <w:tcPr>
            <w:tcW w:w="750" w:type="pct"/>
          </w:tcPr>
          <w:p>
            <w:pPr>
              <w:snapToGrid w:val="0"/>
              <w:jc w:val="center"/>
              <w:rPr>
                <w:cs/>
              </w:rPr>
            </w:pPr>
            <w:r>
              <w:rPr>
                <w:cs/>
              </w:rPr>
              <w:t>1</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10</w:t>
            </w:r>
          </w:p>
        </w:tc>
        <w:tc>
          <w:tcPr>
            <w:tcW w:w="2657" w:type="pct"/>
          </w:tcPr>
          <w:p>
            <w:pPr>
              <w:rPr>
                <w:cs/>
              </w:rPr>
            </w:pPr>
            <w:r>
              <w:rPr>
                <w:cs/>
              </w:rPr>
              <w:t>Участковая больница в составе:</w:t>
            </w:r>
          </w:p>
          <w:p>
            <w:pPr>
              <w:rPr>
                <w:cs/>
              </w:rPr>
            </w:pPr>
            <w:r>
              <w:rPr>
                <w:cs/>
              </w:rPr>
              <w:t>- поликлиника;</w:t>
            </w:r>
          </w:p>
          <w:p>
            <w:pPr>
              <w:rPr>
                <w:cs/>
              </w:rPr>
            </w:pPr>
            <w:r>
              <w:rPr>
                <w:cs/>
              </w:rPr>
              <w:t>- стационар;</w:t>
            </w:r>
          </w:p>
          <w:p>
            <w:pPr>
              <w:rPr>
                <w:cs/>
              </w:rPr>
            </w:pPr>
            <w:r>
              <w:rPr>
                <w:cs/>
              </w:rPr>
              <w:t>- станция скорой помощи</w:t>
            </w:r>
          </w:p>
        </w:tc>
        <w:tc>
          <w:tcPr>
            <w:tcW w:w="750" w:type="pct"/>
          </w:tcPr>
          <w:p>
            <w:pPr>
              <w:snapToGrid w:val="0"/>
              <w:jc w:val="center"/>
              <w:rPr>
                <w:cs/>
              </w:rPr>
            </w:pPr>
            <w:r>
              <w:rPr>
                <w:cs/>
              </w:rPr>
              <w:t>1</w:t>
            </w:r>
          </w:p>
        </w:tc>
        <w:tc>
          <w:tcPr>
            <w:tcW w:w="497" w:type="pct"/>
          </w:tcPr>
          <w:p>
            <w:pPr>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11</w:t>
            </w:r>
          </w:p>
        </w:tc>
        <w:tc>
          <w:tcPr>
            <w:tcW w:w="2657" w:type="pct"/>
          </w:tcPr>
          <w:p>
            <w:pPr>
              <w:rPr>
                <w:cs/>
              </w:rPr>
            </w:pPr>
            <w:r>
              <w:rPr>
                <w:cs/>
              </w:rPr>
              <w:t>Детская поликлиника, молочная кухня</w:t>
            </w:r>
          </w:p>
          <w:p>
            <w:pPr>
              <w:rPr>
                <w:cs/>
              </w:rPr>
            </w:pPr>
          </w:p>
        </w:tc>
        <w:tc>
          <w:tcPr>
            <w:tcW w:w="750" w:type="pct"/>
          </w:tcPr>
          <w:p>
            <w:pPr>
              <w:snapToGrid w:val="0"/>
              <w:jc w:val="center"/>
              <w:rPr>
                <w:cs/>
              </w:rPr>
            </w:pPr>
            <w:r>
              <w:rPr>
                <w:cs/>
              </w:rPr>
              <w:t>1</w:t>
            </w:r>
          </w:p>
        </w:tc>
        <w:tc>
          <w:tcPr>
            <w:tcW w:w="497" w:type="pct"/>
          </w:tcPr>
          <w:p>
            <w:pPr>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12</w:t>
            </w:r>
          </w:p>
        </w:tc>
        <w:tc>
          <w:tcPr>
            <w:tcW w:w="2657" w:type="pct"/>
          </w:tcPr>
          <w:p>
            <w:pPr>
              <w:rPr>
                <w:cs/>
              </w:rPr>
            </w:pPr>
            <w:r>
              <w:rPr>
                <w:cs/>
              </w:rPr>
              <w:t>Спортивный комплекс с детской юношеской спортивной школой</w:t>
            </w:r>
          </w:p>
        </w:tc>
        <w:tc>
          <w:tcPr>
            <w:tcW w:w="750" w:type="pct"/>
          </w:tcPr>
          <w:p>
            <w:pPr>
              <w:snapToGrid w:val="0"/>
              <w:jc w:val="center"/>
              <w:rPr>
                <w:cs/>
              </w:rPr>
            </w:pPr>
            <w:r>
              <w:rPr>
                <w:cs/>
              </w:rPr>
              <w:t>1</w:t>
            </w:r>
          </w:p>
        </w:tc>
        <w:tc>
          <w:tcPr>
            <w:tcW w:w="497" w:type="pct"/>
          </w:tcPr>
          <w:p>
            <w:pPr>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13</w:t>
            </w:r>
          </w:p>
        </w:tc>
        <w:tc>
          <w:tcPr>
            <w:tcW w:w="2657" w:type="pct"/>
          </w:tcPr>
          <w:p>
            <w:pPr>
              <w:snapToGrid w:val="0"/>
              <w:rPr>
                <w:cs/>
              </w:rPr>
            </w:pPr>
            <w:r>
              <w:rPr>
                <w:cs/>
              </w:rPr>
              <w:t>Спортивный комплекс</w:t>
            </w:r>
          </w:p>
        </w:tc>
        <w:tc>
          <w:tcPr>
            <w:tcW w:w="750" w:type="pct"/>
          </w:tcPr>
          <w:p>
            <w:pPr>
              <w:snapToGrid w:val="0"/>
              <w:jc w:val="center"/>
              <w:rPr>
                <w:cs/>
              </w:rPr>
            </w:pPr>
            <w:r>
              <w:rPr>
                <w:cs/>
              </w:rPr>
              <w:t>1</w:t>
            </w:r>
          </w:p>
        </w:tc>
        <w:tc>
          <w:tcPr>
            <w:tcW w:w="497" w:type="pct"/>
          </w:tcPr>
          <w:p>
            <w:pPr>
              <w:snapToGrid w:val="0"/>
              <w:jc w:val="center"/>
              <w:rPr>
                <w:cs/>
              </w:rPr>
            </w:pPr>
            <w:r>
              <w:rPr>
                <w:cs/>
              </w:rPr>
              <w:t>-</w:t>
            </w:r>
          </w:p>
        </w:tc>
        <w:tc>
          <w:tcPr>
            <w:tcW w:w="796" w:type="pct"/>
          </w:tcPr>
          <w:p>
            <w:pPr>
              <w:snapToGrid w:val="0"/>
              <w:jc w:val="center"/>
              <w:rPr>
                <w:cs/>
              </w:rPr>
            </w:pPr>
            <w:r>
              <w:rPr>
                <w:cs/>
              </w:rPr>
              <w:t>реконстр.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14</w:t>
            </w:r>
          </w:p>
        </w:tc>
        <w:tc>
          <w:tcPr>
            <w:tcW w:w="2657" w:type="pct"/>
          </w:tcPr>
          <w:p>
            <w:pPr>
              <w:snapToGrid w:val="0"/>
              <w:rPr>
                <w:cs/>
              </w:rPr>
            </w:pPr>
            <w:r>
              <w:rPr>
                <w:cs/>
              </w:rPr>
              <w:t>Стадион</w:t>
            </w:r>
          </w:p>
        </w:tc>
        <w:tc>
          <w:tcPr>
            <w:tcW w:w="750" w:type="pct"/>
          </w:tcPr>
          <w:p>
            <w:pPr>
              <w:snapToGrid w:val="0"/>
              <w:jc w:val="center"/>
              <w:rPr>
                <w:cs/>
              </w:rPr>
            </w:pPr>
            <w:r>
              <w:rPr>
                <w:cs/>
              </w:rPr>
              <w:t>1</w:t>
            </w:r>
          </w:p>
        </w:tc>
        <w:tc>
          <w:tcPr>
            <w:tcW w:w="497" w:type="pct"/>
          </w:tcPr>
          <w:p>
            <w:pPr>
              <w:snapToGrid w:val="0"/>
              <w:jc w:val="center"/>
              <w:rPr>
                <w:cs/>
              </w:rPr>
            </w:pPr>
            <w:r>
              <w:rPr>
                <w:cs/>
              </w:rPr>
              <w:t>-</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15</w:t>
            </w:r>
          </w:p>
        </w:tc>
        <w:tc>
          <w:tcPr>
            <w:tcW w:w="2657" w:type="pct"/>
          </w:tcPr>
          <w:p>
            <w:pPr>
              <w:snapToGrid w:val="0"/>
              <w:rPr>
                <w:cs/>
              </w:rPr>
            </w:pPr>
            <w:r>
              <w:rPr>
                <w:cs/>
              </w:rPr>
              <w:t>Автодром</w:t>
            </w:r>
          </w:p>
        </w:tc>
        <w:tc>
          <w:tcPr>
            <w:tcW w:w="750" w:type="pct"/>
          </w:tcPr>
          <w:p>
            <w:pPr>
              <w:snapToGrid w:val="0"/>
              <w:jc w:val="center"/>
              <w:rPr>
                <w:cs/>
              </w:rPr>
            </w:pPr>
          </w:p>
        </w:tc>
        <w:tc>
          <w:tcPr>
            <w:tcW w:w="497" w:type="pct"/>
          </w:tcPr>
          <w:p>
            <w:pPr>
              <w:snapToGrid w:val="0"/>
              <w:jc w:val="center"/>
              <w:rPr>
                <w:cs/>
              </w:rPr>
            </w:pP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16</w:t>
            </w:r>
          </w:p>
        </w:tc>
        <w:tc>
          <w:tcPr>
            <w:tcW w:w="2657" w:type="pct"/>
          </w:tcPr>
          <w:p>
            <w:pPr>
              <w:snapToGrid w:val="0"/>
              <w:rPr>
                <w:cs/>
              </w:rPr>
            </w:pPr>
            <w:r>
              <w:rPr>
                <w:cs/>
              </w:rPr>
              <w:t>Рыночный комплекс</w:t>
            </w:r>
          </w:p>
        </w:tc>
        <w:tc>
          <w:tcPr>
            <w:tcW w:w="750" w:type="pct"/>
          </w:tcPr>
          <w:p>
            <w:pPr>
              <w:snapToGrid w:val="0"/>
              <w:jc w:val="center"/>
              <w:rPr>
                <w:cs/>
              </w:rPr>
            </w:pPr>
            <w:r>
              <w:rPr>
                <w:cs/>
              </w:rPr>
              <w:t>2</w:t>
            </w:r>
          </w:p>
        </w:tc>
        <w:tc>
          <w:tcPr>
            <w:tcW w:w="497" w:type="pct"/>
          </w:tcPr>
          <w:p>
            <w:pPr>
              <w:snapToGrid w:val="0"/>
              <w:jc w:val="center"/>
              <w:rPr>
                <w:cs/>
              </w:rPr>
            </w:pPr>
            <w:r>
              <w:rPr>
                <w:cs/>
              </w:rPr>
              <w:t>-</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17</w:t>
            </w:r>
          </w:p>
        </w:tc>
        <w:tc>
          <w:tcPr>
            <w:tcW w:w="2657" w:type="pct"/>
          </w:tcPr>
          <w:p>
            <w:pPr>
              <w:snapToGrid w:val="0"/>
              <w:rPr>
                <w:cs/>
              </w:rPr>
            </w:pPr>
            <w:r>
              <w:rPr>
                <w:cs/>
              </w:rPr>
              <w:t>Гостиница, салон красоты</w:t>
            </w:r>
          </w:p>
        </w:tc>
        <w:tc>
          <w:tcPr>
            <w:tcW w:w="750" w:type="pct"/>
          </w:tcPr>
          <w:p>
            <w:pPr>
              <w:snapToGrid w:val="0"/>
              <w:jc w:val="center"/>
              <w:rPr>
                <w:cs/>
              </w:rPr>
            </w:pPr>
            <w:r>
              <w:rPr>
                <w:cs/>
              </w:rPr>
              <w:t>1</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18</w:t>
            </w:r>
          </w:p>
        </w:tc>
        <w:tc>
          <w:tcPr>
            <w:tcW w:w="2657" w:type="pct"/>
          </w:tcPr>
          <w:p>
            <w:pPr>
              <w:snapToGrid w:val="0"/>
              <w:rPr>
                <w:cs/>
              </w:rPr>
            </w:pPr>
            <w:r>
              <w:rPr>
                <w:cs/>
              </w:rPr>
              <w:t>Баня, прачечная, химчистка</w:t>
            </w:r>
          </w:p>
        </w:tc>
        <w:tc>
          <w:tcPr>
            <w:tcW w:w="750" w:type="pct"/>
          </w:tcPr>
          <w:p>
            <w:pPr>
              <w:snapToGrid w:val="0"/>
              <w:jc w:val="center"/>
              <w:rPr>
                <w:cs/>
              </w:rPr>
            </w:pPr>
            <w:r>
              <w:rPr>
                <w:cs/>
              </w:rPr>
              <w:t>1</w:t>
            </w:r>
          </w:p>
        </w:tc>
        <w:tc>
          <w:tcPr>
            <w:tcW w:w="497" w:type="pct"/>
          </w:tcPr>
          <w:p>
            <w:pPr>
              <w:snapToGrid w:val="0"/>
              <w:jc w:val="center"/>
              <w:rPr>
                <w:cs/>
              </w:rPr>
            </w:pPr>
            <w:r>
              <w:rPr>
                <w:cs/>
              </w:rPr>
              <w:t>2</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19</w:t>
            </w:r>
          </w:p>
        </w:tc>
        <w:tc>
          <w:tcPr>
            <w:tcW w:w="2657" w:type="pct"/>
          </w:tcPr>
          <w:p>
            <w:pPr>
              <w:snapToGrid w:val="0"/>
              <w:rPr>
                <w:cs/>
              </w:rPr>
            </w:pPr>
            <w:r>
              <w:rPr>
                <w:cs/>
              </w:rPr>
              <w:t>Баня-сауна</w:t>
            </w:r>
          </w:p>
        </w:tc>
        <w:tc>
          <w:tcPr>
            <w:tcW w:w="750" w:type="pct"/>
          </w:tcPr>
          <w:p>
            <w:pPr>
              <w:snapToGrid w:val="0"/>
              <w:jc w:val="center"/>
              <w:rPr>
                <w:cs/>
              </w:rPr>
            </w:pPr>
            <w:r>
              <w:rPr>
                <w:cs/>
              </w:rPr>
              <w:t>1</w:t>
            </w:r>
          </w:p>
        </w:tc>
        <w:tc>
          <w:tcPr>
            <w:tcW w:w="497" w:type="pct"/>
          </w:tcPr>
          <w:p>
            <w:pPr>
              <w:snapToGrid w:val="0"/>
              <w:jc w:val="center"/>
              <w:rPr>
                <w:cs/>
              </w:rPr>
            </w:pPr>
            <w:r>
              <w:rPr>
                <w:cs/>
              </w:rPr>
              <w:t>1</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20</w:t>
            </w:r>
          </w:p>
        </w:tc>
        <w:tc>
          <w:tcPr>
            <w:tcW w:w="2657" w:type="pct"/>
          </w:tcPr>
          <w:p>
            <w:pPr>
              <w:snapToGrid w:val="0"/>
              <w:rPr>
                <w:cs/>
              </w:rPr>
            </w:pPr>
            <w:r>
              <w:rPr>
                <w:cs/>
              </w:rPr>
              <w:t>База отдыха для охотников и рыболовов</w:t>
            </w:r>
          </w:p>
        </w:tc>
        <w:tc>
          <w:tcPr>
            <w:tcW w:w="750" w:type="pct"/>
          </w:tcPr>
          <w:p>
            <w:pPr>
              <w:snapToGrid w:val="0"/>
              <w:jc w:val="center"/>
              <w:rPr>
                <w:cs/>
              </w:rPr>
            </w:pPr>
            <w:r>
              <w:rPr>
                <w:cs/>
              </w:rPr>
              <w:t>1</w:t>
            </w:r>
          </w:p>
        </w:tc>
        <w:tc>
          <w:tcPr>
            <w:tcW w:w="497" w:type="pct"/>
          </w:tcPr>
          <w:p>
            <w:pPr>
              <w:snapToGrid w:val="0"/>
              <w:jc w:val="center"/>
              <w:rPr>
                <w:cs/>
              </w:rPr>
            </w:pPr>
            <w:r>
              <w:rPr>
                <w:cs/>
              </w:rPr>
              <w:t>1</w:t>
            </w:r>
          </w:p>
        </w:tc>
        <w:tc>
          <w:tcPr>
            <w:tcW w:w="796" w:type="pct"/>
          </w:tcPr>
          <w:p>
            <w:pPr>
              <w:snapToGrid w:val="0"/>
              <w:jc w:val="center"/>
              <w:rPr>
                <w:cs/>
              </w:rPr>
            </w:pPr>
            <w:r>
              <w:rPr>
                <w:cs/>
              </w:rPr>
              <w:t>проектир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 w:type="pct"/>
          </w:tcPr>
          <w:p>
            <w:pPr>
              <w:snapToGrid w:val="0"/>
              <w:jc w:val="center"/>
              <w:rPr>
                <w:cs/>
              </w:rPr>
            </w:pPr>
            <w:r>
              <w:rPr>
                <w:cs/>
              </w:rPr>
              <w:t>21</w:t>
            </w:r>
          </w:p>
        </w:tc>
        <w:tc>
          <w:tcPr>
            <w:tcW w:w="2657" w:type="pct"/>
          </w:tcPr>
          <w:p>
            <w:pPr>
              <w:snapToGrid w:val="0"/>
              <w:rPr>
                <w:cs/>
              </w:rPr>
            </w:pPr>
            <w:r>
              <w:rPr>
                <w:cs/>
              </w:rPr>
              <w:t>Лодочная станция</w:t>
            </w:r>
          </w:p>
        </w:tc>
        <w:tc>
          <w:tcPr>
            <w:tcW w:w="750" w:type="pct"/>
          </w:tcPr>
          <w:p>
            <w:pPr>
              <w:snapToGrid w:val="0"/>
              <w:jc w:val="center"/>
              <w:rPr>
                <w:cs/>
              </w:rPr>
            </w:pPr>
            <w:r>
              <w:rPr>
                <w:cs/>
              </w:rPr>
              <w:t>2</w:t>
            </w:r>
          </w:p>
        </w:tc>
        <w:tc>
          <w:tcPr>
            <w:tcW w:w="497" w:type="pct"/>
          </w:tcPr>
          <w:p>
            <w:pPr>
              <w:snapToGrid w:val="0"/>
              <w:jc w:val="center"/>
              <w:rPr>
                <w:cs/>
              </w:rPr>
            </w:pPr>
            <w:r>
              <w:rPr>
                <w:cs/>
              </w:rPr>
              <w:t>-</w:t>
            </w:r>
          </w:p>
        </w:tc>
        <w:tc>
          <w:tcPr>
            <w:tcW w:w="796" w:type="pct"/>
          </w:tcPr>
          <w:p>
            <w:pPr>
              <w:snapToGrid w:val="0"/>
              <w:jc w:val="center"/>
              <w:rPr>
                <w:cs/>
              </w:rPr>
            </w:pPr>
            <w:r>
              <w:rPr>
                <w:cs/>
              </w:rPr>
              <w:t>проектир.</w:t>
            </w:r>
          </w:p>
        </w:tc>
      </w:tr>
    </w:tbl>
    <w:p>
      <w:pPr>
        <w:pStyle w:val="147"/>
        <w:widowControl w:val="0"/>
        <w:suppressAutoHyphens/>
        <w:spacing w:after="0" w:line="360" w:lineRule="auto"/>
        <w:ind w:left="0" w:firstLine="851"/>
        <w:jc w:val="both"/>
        <w:sectPr>
          <w:headerReference r:id="rId8" w:type="default"/>
          <w:type w:val="continuous"/>
          <w:pgSz w:w="11906" w:h="16838"/>
          <w:pgMar w:top="1134" w:right="849" w:bottom="1134" w:left="851" w:header="709" w:footer="709" w:gutter="0"/>
          <w:cols w:space="708" w:num="1"/>
          <w:titlePg/>
          <w:docGrid w:linePitch="360" w:charSpace="0"/>
        </w:sectPr>
      </w:pPr>
    </w:p>
    <w:p>
      <w:pPr>
        <w:pStyle w:val="3"/>
        <w:keepLines/>
        <w:numPr>
          <w:ilvl w:val="1"/>
          <w:numId w:val="30"/>
        </w:numPr>
        <w:suppressAutoHyphens/>
        <w:spacing w:before="480" w:after="0" w:line="360" w:lineRule="auto"/>
        <w:ind w:left="0" w:firstLine="0"/>
        <w:jc w:val="center"/>
        <w:rPr>
          <w:rFonts w:ascii="Times New Roman" w:hAnsi="Times New Roman"/>
          <w:i w:val="0"/>
          <w:sz w:val="30"/>
          <w:szCs w:val="30"/>
        </w:rPr>
      </w:pPr>
      <w:bookmarkStart w:id="80" w:name="_Toc57203199"/>
      <w:bookmarkStart w:id="81" w:name="_Toc342472320"/>
      <w:bookmarkStart w:id="82" w:name="_Toc268263640"/>
      <w:r>
        <w:rPr>
          <w:rFonts w:ascii="Times New Roman" w:hAnsi="Times New Roman"/>
          <w:i w:val="0"/>
          <w:sz w:val="30"/>
          <w:szCs w:val="30"/>
        </w:rPr>
        <w:t>Транспортная инфраструктура муниципального образования</w:t>
      </w:r>
      <w:bookmarkEnd w:id="80"/>
      <w:bookmarkEnd w:id="81"/>
      <w:bookmarkEnd w:id="82"/>
    </w:p>
    <w:p>
      <w:pPr>
        <w:pStyle w:val="4"/>
        <w:numPr>
          <w:ilvl w:val="2"/>
          <w:numId w:val="30"/>
        </w:numPr>
        <w:suppressAutoHyphens/>
        <w:spacing w:before="0" w:after="120" w:line="360" w:lineRule="auto"/>
        <w:ind w:left="0" w:firstLine="0"/>
        <w:jc w:val="center"/>
        <w:rPr>
          <w:rFonts w:ascii="Times New Roman" w:hAnsi="Times New Roman"/>
          <w:color w:val="auto"/>
          <w:kern w:val="32"/>
          <w:sz w:val="28"/>
          <w:szCs w:val="28"/>
          <w:lang w:eastAsia="ru-RU"/>
        </w:rPr>
      </w:pPr>
      <w:bookmarkStart w:id="83" w:name="_Toc342472321"/>
      <w:bookmarkStart w:id="84" w:name="_Toc268263641"/>
      <w:bookmarkStart w:id="85" w:name="_Toc247965273"/>
      <w:bookmarkStart w:id="86" w:name="_Toc57203200"/>
      <w:r>
        <w:rPr>
          <w:rFonts w:ascii="Times New Roman" w:hAnsi="Times New Roman"/>
          <w:color w:val="auto"/>
          <w:kern w:val="32"/>
          <w:sz w:val="28"/>
          <w:szCs w:val="28"/>
          <w:lang w:eastAsia="ru-RU"/>
        </w:rPr>
        <w:t>Внешний транспорт</w:t>
      </w:r>
      <w:bookmarkEnd w:id="83"/>
      <w:bookmarkEnd w:id="84"/>
      <w:bookmarkEnd w:id="85"/>
      <w:bookmarkEnd w:id="86"/>
    </w:p>
    <w:p>
      <w:pPr>
        <w:pStyle w:val="147"/>
        <w:keepLines/>
        <w:suppressAutoHyphens/>
        <w:spacing w:after="0" w:line="360" w:lineRule="auto"/>
        <w:ind w:left="0" w:firstLine="851"/>
        <w:jc w:val="both"/>
        <w:rPr>
          <w:rFonts w:eastAsia="Calibri"/>
        </w:rPr>
      </w:pPr>
      <w:bookmarkStart w:id="87" w:name="OLE_LINK535"/>
      <w:bookmarkStart w:id="88" w:name="OLE_LINK38"/>
      <w:bookmarkStart w:id="89" w:name="OLE_LINK40"/>
      <w:bookmarkStart w:id="90" w:name="OLE_LINK354"/>
      <w:bookmarkStart w:id="91" w:name="OLE_LINK353"/>
      <w:bookmarkStart w:id="92" w:name="OLE_LINK39"/>
      <w:bookmarkStart w:id="93" w:name="_Toc342472322"/>
      <w:bookmarkStart w:id="94" w:name="_Toc268263642"/>
      <w:bookmarkStart w:id="95" w:name="_Toc247965274"/>
      <w:r>
        <w:rPr>
          <w:rFonts w:eastAsia="Calibri"/>
        </w:rPr>
        <w:t>По территории Ейскоукрепленского сельского поселения</w:t>
      </w:r>
      <w:r>
        <w:rPr>
          <w:rFonts w:hint="default" w:eastAsia="Calibri"/>
          <w:lang w:val="ru-RU"/>
        </w:rPr>
        <w:t xml:space="preserve"> </w:t>
      </w:r>
      <w:r>
        <w:rPr>
          <w:rFonts w:eastAsia="Calibri"/>
          <w:lang w:val="ru-RU" w:eastAsia="ru-RU"/>
        </w:rPr>
        <w:t>проходят участки автомобильных дорог общего пользования межмуниципального значения ст-ца Старощербиновская - с. Шабельское и регионального значения с. Ейское Укрепление - х. Любимов.</w:t>
      </w:r>
      <w:r>
        <w:rPr>
          <w:rFonts w:eastAsia="Calibri"/>
        </w:rPr>
        <w:t xml:space="preserve"> </w:t>
      </w:r>
      <w:r>
        <w:rPr>
          <w:rFonts w:eastAsia="Calibri"/>
          <w:lang w:val="ru-RU"/>
        </w:rPr>
        <w:t>О</w:t>
      </w:r>
      <w:r>
        <w:rPr>
          <w:rFonts w:eastAsia="Calibri"/>
        </w:rPr>
        <w:t>беспечивает</w:t>
      </w:r>
      <w:r>
        <w:rPr>
          <w:rFonts w:eastAsia="Calibri"/>
          <w:lang w:val="ru-RU"/>
        </w:rPr>
        <w:t>ся</w:t>
      </w:r>
      <w:r>
        <w:rPr>
          <w:rFonts w:eastAsia="Calibri"/>
        </w:rPr>
        <w:t xml:space="preserve"> круглогодичный проезд всех видов автомобильного транспорта. </w:t>
      </w:r>
    </w:p>
    <w:p>
      <w:pPr>
        <w:pStyle w:val="147"/>
        <w:keepLines/>
        <w:suppressAutoHyphens/>
        <w:spacing w:after="0" w:line="360" w:lineRule="auto"/>
        <w:ind w:left="0" w:firstLine="851"/>
        <w:jc w:val="both"/>
      </w:pPr>
      <w:r>
        <w:t xml:space="preserve">Административный центр Ейскоукрепленского сельского поселения – село Ейское Укрепление – связан с другими населенными пунктами района и края автодорогами краевого значения и внутрихозяйственными. </w:t>
      </w:r>
    </w:p>
    <w:p>
      <w:pPr>
        <w:pStyle w:val="147"/>
        <w:keepLines/>
        <w:suppressAutoHyphens/>
        <w:spacing w:after="0" w:line="360" w:lineRule="auto"/>
        <w:ind w:left="0" w:firstLine="851"/>
        <w:jc w:val="both"/>
      </w:pPr>
      <w:r>
        <w:t>Развитие внешних автомобильных дорог Ейскоукрепленского транспортного узла намечается по следующим направлениям:</w:t>
      </w:r>
    </w:p>
    <w:p>
      <w:pPr>
        <w:pStyle w:val="147"/>
        <w:numPr>
          <w:ilvl w:val="0"/>
          <w:numId w:val="25"/>
        </w:numPr>
        <w:suppressAutoHyphens/>
        <w:spacing w:after="0" w:line="360" w:lineRule="auto"/>
        <w:jc w:val="both"/>
      </w:pPr>
      <w:r>
        <w:t>Приведение технического уровня существующих сохраняемых генеральным планом участков дорог в соответствие с расширением транспортного парка и ростом транспортных потоков.</w:t>
      </w:r>
    </w:p>
    <w:bookmarkEnd w:id="87"/>
    <w:bookmarkEnd w:id="88"/>
    <w:bookmarkEnd w:id="89"/>
    <w:bookmarkEnd w:id="90"/>
    <w:bookmarkEnd w:id="91"/>
    <w:bookmarkEnd w:id="92"/>
    <w:p>
      <w:pPr>
        <w:pStyle w:val="4"/>
        <w:keepLines w:val="0"/>
        <w:numPr>
          <w:ilvl w:val="2"/>
          <w:numId w:val="31"/>
        </w:numPr>
        <w:suppressAutoHyphens/>
        <w:spacing w:before="360" w:after="120" w:line="360" w:lineRule="auto"/>
        <w:ind w:left="720"/>
        <w:jc w:val="center"/>
        <w:rPr>
          <w:rFonts w:ascii="Times New Roman" w:hAnsi="Times New Roman"/>
          <w:color w:val="auto"/>
          <w:kern w:val="32"/>
          <w:sz w:val="28"/>
          <w:szCs w:val="28"/>
          <w:lang w:eastAsia="ru-RU"/>
        </w:rPr>
      </w:pPr>
      <w:bookmarkStart w:id="96" w:name="_Toc57203201"/>
      <w:r>
        <w:rPr>
          <w:rFonts w:ascii="Times New Roman" w:hAnsi="Times New Roman"/>
          <w:color w:val="auto"/>
          <w:kern w:val="32"/>
          <w:sz w:val="28"/>
          <w:szCs w:val="28"/>
          <w:lang w:eastAsia="ru-RU"/>
        </w:rPr>
        <w:t>Улично-дорожная сеть</w:t>
      </w:r>
      <w:bookmarkEnd w:id="93"/>
      <w:bookmarkEnd w:id="94"/>
      <w:bookmarkEnd w:id="95"/>
      <w:bookmarkEnd w:id="96"/>
    </w:p>
    <w:p>
      <w:pPr>
        <w:pStyle w:val="147"/>
        <w:keepLines/>
        <w:suppressAutoHyphens/>
        <w:spacing w:after="0" w:line="360" w:lineRule="auto"/>
        <w:ind w:left="0" w:firstLine="851"/>
        <w:jc w:val="both"/>
      </w:pPr>
      <w:r>
        <w:t>В общем комплексе градостроительных работ большое значение имеют вопросы организации транспортного движения. Вопросы реконструкции транспортно-дорожной сети неотделимы от общей концепции перспективного развития села Ейское Укрепление. Существующая транспортная схема села представлена нерегулярной сеткой улиц и дорог, отчасти хаотичной.</w:t>
      </w:r>
    </w:p>
    <w:p>
      <w:pPr>
        <w:pStyle w:val="147"/>
        <w:keepLines/>
        <w:suppressAutoHyphens/>
        <w:spacing w:after="0" w:line="360" w:lineRule="auto"/>
        <w:ind w:left="0" w:firstLine="851"/>
        <w:jc w:val="both"/>
      </w:pPr>
      <w:r>
        <w:t>Основными центрами транспортного тяготения являются места приложения труда – производственные зоны, а также общественные центры с объектами инфраструктурой.</w:t>
      </w:r>
    </w:p>
    <w:p>
      <w:pPr>
        <w:pStyle w:val="147"/>
        <w:keepLines/>
        <w:suppressAutoHyphens/>
        <w:spacing w:after="0" w:line="360" w:lineRule="auto"/>
        <w:ind w:left="0" w:firstLine="851"/>
        <w:jc w:val="both"/>
      </w:pPr>
      <w:r>
        <w:t>Проектируемая транспортная схема села является органичным развитием сложившейся транспортной структуры и нуждается в увеличении её пропускной способности, организации безопасности движения, строительстве объездной дороги для выноса транзитных транспортных потоков, прокладке новых улиц и дорог в проектируемом восточном жилом районе.</w:t>
      </w:r>
    </w:p>
    <w:p>
      <w:pPr>
        <w:pStyle w:val="147"/>
        <w:keepLines/>
        <w:suppressAutoHyphens/>
        <w:spacing w:after="0" w:line="360" w:lineRule="auto"/>
        <w:ind w:left="0" w:firstLine="851"/>
        <w:jc w:val="both"/>
      </w:pPr>
      <w:r>
        <w:t>Генеральным планом предусматривается создание единой системы транспортной и улично-дорожной сети в увязке с планировочной структурой населенного пункта и прилегающей к нему территории. Такая система призвана обеспечить удобные, быстрые и безопасные связи со всеми функциональными зонами, объектами внешнего транспорта и автомобильными дорогами общей сети.</w:t>
      </w:r>
    </w:p>
    <w:p>
      <w:pPr>
        <w:pStyle w:val="147"/>
        <w:keepLines/>
        <w:suppressAutoHyphens/>
        <w:spacing w:after="0" w:line="360" w:lineRule="auto"/>
        <w:ind w:left="0" w:firstLine="851"/>
        <w:jc w:val="both"/>
      </w:pPr>
      <w:r>
        <w:t>Улично-дорожная сеть села решена проектом в виде непрерывной системы с учетом функционального назначения улиц и дорог, интенсивности транспортного и пешеходного движения, территориально-планировочной организации территории и характера застройки.</w:t>
      </w:r>
    </w:p>
    <w:p>
      <w:pPr>
        <w:pStyle w:val="147"/>
        <w:keepLines/>
        <w:suppressAutoHyphens/>
        <w:spacing w:after="0" w:line="360" w:lineRule="auto"/>
        <w:ind w:left="0" w:firstLine="851"/>
        <w:jc w:val="both"/>
      </w:pPr>
      <w:r>
        <w:t>В составе улично-дорожной сети выделены улицы и дороги следующих категорий:</w:t>
      </w:r>
    </w:p>
    <w:p>
      <w:pPr>
        <w:pStyle w:val="147"/>
        <w:numPr>
          <w:ilvl w:val="0"/>
          <w:numId w:val="32"/>
        </w:numPr>
        <w:suppressAutoHyphens/>
        <w:spacing w:after="0" w:line="360" w:lineRule="auto"/>
        <w:jc w:val="both"/>
      </w:pPr>
      <w:r>
        <w:rPr>
          <w:b/>
        </w:rPr>
        <w:t>поселковые дороги</w:t>
      </w:r>
      <w:r>
        <w:t>, по которым осуществляется связь населенного пункта с внешними дорогами общей сети. К этой категории относятся:</w:t>
      </w:r>
    </w:p>
    <w:p>
      <w:pPr>
        <w:pStyle w:val="147"/>
        <w:numPr>
          <w:ilvl w:val="0"/>
          <w:numId w:val="25"/>
        </w:numPr>
        <w:suppressAutoHyphens/>
        <w:spacing w:after="0" w:line="360" w:lineRule="auto"/>
        <w:jc w:val="both"/>
      </w:pPr>
      <w:r>
        <w:t>ул. Хорошайло;</w:t>
      </w:r>
    </w:p>
    <w:p>
      <w:pPr>
        <w:pStyle w:val="147"/>
        <w:numPr>
          <w:ilvl w:val="0"/>
          <w:numId w:val="25"/>
        </w:numPr>
        <w:suppressAutoHyphens/>
        <w:spacing w:after="0" w:line="360" w:lineRule="auto"/>
        <w:jc w:val="both"/>
      </w:pPr>
      <w:r>
        <w:t>ул. Делегатская;</w:t>
      </w:r>
    </w:p>
    <w:p>
      <w:pPr>
        <w:pStyle w:val="147"/>
        <w:numPr>
          <w:ilvl w:val="0"/>
          <w:numId w:val="25"/>
        </w:numPr>
        <w:suppressAutoHyphens/>
        <w:spacing w:after="0" w:line="360" w:lineRule="auto"/>
        <w:jc w:val="both"/>
      </w:pPr>
      <w:r>
        <w:t>ул. Интернациональная;</w:t>
      </w:r>
    </w:p>
    <w:p>
      <w:pPr>
        <w:pStyle w:val="147"/>
        <w:numPr>
          <w:ilvl w:val="0"/>
          <w:numId w:val="25"/>
        </w:numPr>
        <w:suppressAutoHyphens/>
        <w:spacing w:after="0" w:line="360" w:lineRule="auto"/>
        <w:jc w:val="both"/>
      </w:pPr>
      <w:r>
        <w:t>ул. Чкалова.</w:t>
      </w:r>
    </w:p>
    <w:p>
      <w:pPr>
        <w:suppressAutoHyphens/>
        <w:spacing w:after="0" w:line="360" w:lineRule="auto"/>
        <w:jc w:val="both"/>
      </w:pPr>
    </w:p>
    <w:p>
      <w:pPr>
        <w:pStyle w:val="147"/>
        <w:numPr>
          <w:ilvl w:val="0"/>
          <w:numId w:val="32"/>
        </w:numPr>
        <w:suppressAutoHyphens/>
        <w:spacing w:after="0" w:line="360" w:lineRule="auto"/>
        <w:jc w:val="both"/>
      </w:pPr>
      <w:r>
        <w:rPr>
          <w:b/>
        </w:rPr>
        <w:t>главные улицы</w:t>
      </w:r>
      <w:r>
        <w:t>, обеспечивающие связь жилых территорий с общественными центрами и местами приложения труда:</w:t>
      </w:r>
    </w:p>
    <w:p>
      <w:pPr>
        <w:pStyle w:val="147"/>
        <w:numPr>
          <w:ilvl w:val="0"/>
          <w:numId w:val="25"/>
        </w:numPr>
        <w:suppressAutoHyphens/>
        <w:spacing w:after="0" w:line="360" w:lineRule="auto"/>
        <w:jc w:val="both"/>
      </w:pPr>
      <w:r>
        <w:t>ул. Садовая;</w:t>
      </w:r>
    </w:p>
    <w:p>
      <w:pPr>
        <w:pStyle w:val="147"/>
        <w:numPr>
          <w:ilvl w:val="0"/>
          <w:numId w:val="25"/>
        </w:numPr>
        <w:suppressAutoHyphens/>
        <w:spacing w:after="0" w:line="360" w:lineRule="auto"/>
        <w:jc w:val="both"/>
      </w:pPr>
      <w:r>
        <w:t>ул. 2-ая Пятилетка;</w:t>
      </w:r>
    </w:p>
    <w:p>
      <w:pPr>
        <w:pStyle w:val="147"/>
        <w:numPr>
          <w:ilvl w:val="0"/>
          <w:numId w:val="25"/>
        </w:numPr>
        <w:suppressAutoHyphens/>
        <w:spacing w:after="0" w:line="360" w:lineRule="auto"/>
        <w:jc w:val="both"/>
      </w:pPr>
      <w:r>
        <w:t>ул. Лиманная;</w:t>
      </w:r>
    </w:p>
    <w:p>
      <w:pPr>
        <w:pStyle w:val="147"/>
        <w:numPr>
          <w:ilvl w:val="0"/>
          <w:numId w:val="25"/>
        </w:numPr>
        <w:suppressAutoHyphens/>
        <w:spacing w:after="0" w:line="360" w:lineRule="auto"/>
        <w:jc w:val="both"/>
      </w:pPr>
      <w:r>
        <w:t>пер. Пугачевский;</w:t>
      </w:r>
    </w:p>
    <w:p>
      <w:pPr>
        <w:pStyle w:val="147"/>
        <w:numPr>
          <w:ilvl w:val="0"/>
          <w:numId w:val="25"/>
        </w:numPr>
        <w:suppressAutoHyphens/>
        <w:spacing w:after="0" w:line="360" w:lineRule="auto"/>
        <w:jc w:val="both"/>
      </w:pPr>
      <w:r>
        <w:t>пер. Красноармейский;</w:t>
      </w:r>
    </w:p>
    <w:p>
      <w:pPr>
        <w:pStyle w:val="147"/>
        <w:numPr>
          <w:ilvl w:val="0"/>
          <w:numId w:val="25"/>
        </w:numPr>
        <w:suppressAutoHyphens/>
        <w:spacing w:after="0" w:line="360" w:lineRule="auto"/>
        <w:jc w:val="both"/>
      </w:pPr>
      <w:r>
        <w:t>ул. Суворова;</w:t>
      </w:r>
    </w:p>
    <w:p>
      <w:pPr>
        <w:pStyle w:val="147"/>
        <w:numPr>
          <w:ilvl w:val="0"/>
          <w:numId w:val="25"/>
        </w:numPr>
        <w:suppressAutoHyphens/>
        <w:spacing w:after="0" w:line="360" w:lineRule="auto"/>
        <w:jc w:val="both"/>
      </w:pPr>
      <w:r>
        <w:t>ул. Гайдуковская;</w:t>
      </w:r>
    </w:p>
    <w:p>
      <w:pPr>
        <w:pStyle w:val="147"/>
        <w:numPr>
          <w:ilvl w:val="0"/>
          <w:numId w:val="25"/>
        </w:numPr>
        <w:suppressAutoHyphens/>
        <w:spacing w:after="0" w:line="360" w:lineRule="auto"/>
        <w:jc w:val="both"/>
      </w:pPr>
      <w:r>
        <w:t>ул. Лиманная.</w:t>
      </w:r>
    </w:p>
    <w:p>
      <w:pPr>
        <w:pStyle w:val="147"/>
        <w:keepLines/>
        <w:suppressAutoHyphens/>
        <w:spacing w:after="0" w:line="360" w:lineRule="auto"/>
        <w:ind w:left="0" w:firstLine="851"/>
        <w:jc w:val="both"/>
      </w:pPr>
      <w:r>
        <w:t>а также ряд проектируемых улиц без названий в новых жилых районах;</w:t>
      </w:r>
    </w:p>
    <w:p>
      <w:pPr>
        <w:pStyle w:val="147"/>
        <w:keepLines/>
        <w:suppressAutoHyphens/>
        <w:spacing w:after="0" w:line="360" w:lineRule="auto"/>
        <w:ind w:left="0" w:firstLine="851"/>
        <w:jc w:val="both"/>
      </w:pPr>
    </w:p>
    <w:p>
      <w:pPr>
        <w:pStyle w:val="147"/>
        <w:numPr>
          <w:ilvl w:val="0"/>
          <w:numId w:val="32"/>
        </w:numPr>
        <w:suppressAutoHyphens/>
        <w:spacing w:after="0" w:line="360" w:lineRule="auto"/>
        <w:jc w:val="both"/>
        <w:rPr>
          <w:b/>
        </w:rPr>
      </w:pPr>
      <w:r>
        <w:rPr>
          <w:b/>
        </w:rPr>
        <w:t>улицы в жилой застройке:</w:t>
      </w:r>
    </w:p>
    <w:p>
      <w:pPr>
        <w:pStyle w:val="147"/>
        <w:numPr>
          <w:ilvl w:val="0"/>
          <w:numId w:val="25"/>
        </w:numPr>
        <w:suppressAutoHyphens/>
        <w:spacing w:after="0" w:line="360" w:lineRule="auto"/>
        <w:jc w:val="both"/>
      </w:pPr>
      <w:r>
        <w:t>основные, осуществляющие транспортную (без пропуска грузового и общественного транспорта) и пешеходную связь внутри жилых территорий и с главными улицами,</w:t>
      </w:r>
    </w:p>
    <w:p>
      <w:pPr>
        <w:pStyle w:val="147"/>
        <w:numPr>
          <w:ilvl w:val="0"/>
          <w:numId w:val="25"/>
        </w:numPr>
        <w:suppressAutoHyphens/>
        <w:spacing w:after="0" w:line="360" w:lineRule="auto"/>
        <w:jc w:val="both"/>
      </w:pPr>
      <w:r>
        <w:t xml:space="preserve">второстепенные, обеспечивающие связь между основными жилыми улицами; </w:t>
      </w:r>
    </w:p>
    <w:p>
      <w:pPr>
        <w:suppressAutoHyphens/>
        <w:spacing w:after="0" w:line="360" w:lineRule="auto"/>
        <w:jc w:val="both"/>
      </w:pPr>
    </w:p>
    <w:p>
      <w:pPr>
        <w:pStyle w:val="147"/>
        <w:numPr>
          <w:ilvl w:val="0"/>
          <w:numId w:val="32"/>
        </w:numPr>
        <w:suppressAutoHyphens/>
        <w:spacing w:after="0" w:line="360" w:lineRule="auto"/>
        <w:jc w:val="both"/>
        <w:rPr>
          <w:b/>
        </w:rPr>
      </w:pPr>
      <w:r>
        <w:rPr>
          <w:b/>
        </w:rPr>
        <w:t xml:space="preserve">пешеходные улицы, </w:t>
      </w:r>
      <w:r>
        <w:t>необходимые для связи с местами приложения труда, учреждениями и предприятиями обслуживания, в том числе, в пределах общественных центров;</w:t>
      </w:r>
    </w:p>
    <w:p>
      <w:pPr>
        <w:suppressAutoHyphens/>
        <w:spacing w:after="0" w:line="360" w:lineRule="auto"/>
        <w:jc w:val="both"/>
        <w:rPr>
          <w:b/>
        </w:rPr>
      </w:pPr>
    </w:p>
    <w:p>
      <w:pPr>
        <w:pStyle w:val="147"/>
        <w:numPr>
          <w:ilvl w:val="0"/>
          <w:numId w:val="32"/>
        </w:numPr>
        <w:suppressAutoHyphens/>
        <w:spacing w:after="0" w:line="360" w:lineRule="auto"/>
        <w:jc w:val="both"/>
        <w:rPr>
          <w:b/>
        </w:rPr>
      </w:pPr>
      <w:r>
        <w:rPr>
          <w:b/>
        </w:rPr>
        <w:t xml:space="preserve">производственные дороги, </w:t>
      </w:r>
      <w:r>
        <w:t>по которым обеспечивается транспортная связь в пределах производственных зон, а также выходы на поселковые и внешние дороги.</w:t>
      </w:r>
    </w:p>
    <w:p>
      <w:pPr>
        <w:pStyle w:val="147"/>
        <w:keepLines/>
        <w:suppressAutoHyphens/>
        <w:spacing w:after="0" w:line="360" w:lineRule="auto"/>
        <w:ind w:left="0" w:firstLine="851"/>
        <w:jc w:val="both"/>
      </w:pPr>
      <w:r>
        <w:t>Дороги и улицы в новых проектируемых районах (жилом и производственном) обозначены условно, без названий.</w:t>
      </w:r>
    </w:p>
    <w:p>
      <w:pPr>
        <w:pStyle w:val="147"/>
        <w:keepLines/>
        <w:suppressAutoHyphens/>
        <w:spacing w:after="0" w:line="360" w:lineRule="auto"/>
        <w:ind w:left="0" w:firstLine="851"/>
        <w:jc w:val="both"/>
      </w:pPr>
      <w:r>
        <w:t>Ширина существующих дорог и улиц продиктована в основном сложившейся застройкой, что и определило ширину в красных линиях 15,0 - 36,0 м, ширину проезжей части 3,5; 7,0 – 12,0м.</w:t>
      </w:r>
    </w:p>
    <w:p>
      <w:pPr>
        <w:pStyle w:val="147"/>
        <w:keepLines/>
        <w:suppressAutoHyphens/>
        <w:spacing w:after="0" w:line="360" w:lineRule="auto"/>
        <w:ind w:left="0" w:firstLine="851"/>
        <w:jc w:val="both"/>
      </w:pPr>
      <w:r>
        <w:t>Ширина проектируемых дорог и улиц в красных линиях составляет 16,0 - 30,0 м, ширина проезжей части 7,0 –12,0м.</w:t>
      </w:r>
    </w:p>
    <w:p>
      <w:pPr>
        <w:pStyle w:val="147"/>
        <w:keepLines/>
        <w:suppressAutoHyphens/>
        <w:spacing w:after="0" w:line="360" w:lineRule="auto"/>
        <w:ind w:left="0" w:firstLine="851"/>
        <w:jc w:val="both"/>
      </w:pPr>
      <w:r>
        <w:t>Реконструкция существующих дорог и улиц предусматривает их благоустройство с усовершенствованием покрытия, устройство «карманов» для остановки общественного транспорта, парковок и стоянок автотранспорта в местах скопления людей в зоне общественных центров. Массового отдыха, промышленных зонах и т.д., а также уширение проезжих частей улиц и дорог перед перекрестками.</w:t>
      </w:r>
    </w:p>
    <w:p>
      <w:pPr>
        <w:pStyle w:val="147"/>
        <w:keepLines/>
        <w:suppressAutoHyphens/>
        <w:spacing w:after="0" w:line="360" w:lineRule="auto"/>
        <w:ind w:left="0" w:firstLine="851"/>
        <w:jc w:val="both"/>
      </w:pPr>
      <w:r>
        <w:t xml:space="preserve">Особое внимание при проведении реконструкции улично-дорожной сети необходимо уделить обеспечению удобства и безопасности пешеходного движения. </w:t>
      </w:r>
    </w:p>
    <w:p>
      <w:pPr>
        <w:pStyle w:val="147"/>
        <w:keepLines/>
        <w:suppressAutoHyphens/>
        <w:spacing w:after="0" w:line="360" w:lineRule="auto"/>
        <w:ind w:left="0" w:firstLine="851"/>
        <w:jc w:val="both"/>
      </w:pPr>
      <w:r>
        <w:t>В существующем общественном центре села, а также в центре нового жилого района на выходные и праздничные дни рекомендуется выделять бестранспортную зону для пешеходного движения.</w:t>
      </w:r>
    </w:p>
    <w:p>
      <w:pPr>
        <w:pStyle w:val="147"/>
        <w:keepLines/>
        <w:suppressAutoHyphens/>
        <w:spacing w:after="0" w:line="360" w:lineRule="auto"/>
        <w:ind w:left="0" w:firstLine="851"/>
        <w:jc w:val="both"/>
      </w:pPr>
      <w:r>
        <w:t xml:space="preserve">Предусматривается </w:t>
      </w:r>
      <w:r>
        <w:rPr>
          <w:b/>
        </w:rPr>
        <w:t>пешеходно-транспортная</w:t>
      </w:r>
      <w:r>
        <w:t xml:space="preserve"> категория улиц. К ней относятся улицы:</w:t>
      </w:r>
    </w:p>
    <w:p>
      <w:pPr>
        <w:pStyle w:val="147"/>
        <w:numPr>
          <w:ilvl w:val="0"/>
          <w:numId w:val="25"/>
        </w:numPr>
        <w:suppressAutoHyphens/>
        <w:spacing w:after="0" w:line="360" w:lineRule="auto"/>
        <w:jc w:val="both"/>
      </w:pPr>
      <w:r>
        <w:t>ул. Гайдуковская,</w:t>
      </w:r>
    </w:p>
    <w:p>
      <w:pPr>
        <w:pStyle w:val="147"/>
        <w:numPr>
          <w:ilvl w:val="0"/>
          <w:numId w:val="25"/>
        </w:numPr>
        <w:suppressAutoHyphens/>
        <w:spacing w:after="0" w:line="360" w:lineRule="auto"/>
        <w:jc w:val="both"/>
      </w:pPr>
      <w:r>
        <w:t>ул. Садовая,</w:t>
      </w:r>
    </w:p>
    <w:p>
      <w:pPr>
        <w:pStyle w:val="147"/>
        <w:numPr>
          <w:ilvl w:val="0"/>
          <w:numId w:val="25"/>
        </w:numPr>
        <w:suppressAutoHyphens/>
        <w:spacing w:after="0" w:line="360" w:lineRule="auto"/>
        <w:jc w:val="both"/>
      </w:pPr>
      <w:r>
        <w:t>ул.2-ая Пятилетка,</w:t>
      </w:r>
    </w:p>
    <w:p>
      <w:pPr>
        <w:pStyle w:val="147"/>
        <w:keepLines/>
        <w:suppressAutoHyphens/>
        <w:spacing w:after="0" w:line="360" w:lineRule="auto"/>
        <w:ind w:left="0" w:firstLine="851"/>
        <w:jc w:val="both"/>
      </w:pPr>
      <w:r>
        <w:t>а также ряд проектируемых улиц без названий в новых районах.</w:t>
      </w:r>
    </w:p>
    <w:p>
      <w:pPr>
        <w:pStyle w:val="147"/>
        <w:keepLines/>
        <w:suppressAutoHyphens/>
        <w:spacing w:after="0" w:line="360" w:lineRule="auto"/>
        <w:ind w:left="0" w:firstLine="851"/>
        <w:jc w:val="both"/>
      </w:pPr>
      <w:r>
        <w:t>Предлагается их реконструкция, благоустройство и озеленение, так как по ним осуществляется пешеходная связь жителей жилых массивов с зонами отдыха, общественными центрами, местами приложения труда.</w:t>
      </w:r>
    </w:p>
    <w:p>
      <w:pPr>
        <w:pStyle w:val="147"/>
        <w:keepLines/>
        <w:suppressAutoHyphens/>
        <w:spacing w:after="0" w:line="360" w:lineRule="auto"/>
        <w:ind w:left="0" w:firstLine="851"/>
        <w:jc w:val="both"/>
      </w:pPr>
      <w:r>
        <w:t>Длительное содержание автомобилей для населения, проживающего в частных домах, предусмотрено на приусадебных участках, а для жителей проектируемой многоквартирной застройки секционного типа проектом предлагается территория для размещения индивидуальных гаражей в центральной части села между жилой и производственной зонами.</w:t>
      </w:r>
    </w:p>
    <w:p>
      <w:pPr>
        <w:pStyle w:val="147"/>
        <w:keepLines/>
        <w:suppressAutoHyphens/>
        <w:spacing w:after="0" w:line="360" w:lineRule="auto"/>
        <w:ind w:left="0" w:firstLine="851"/>
        <w:jc w:val="both"/>
      </w:pPr>
      <w:r>
        <w:t>В качестве пассажирского массового транспорта в селе на перспективу остается автобус и маршрутное такси.</w:t>
      </w:r>
    </w:p>
    <w:p>
      <w:pPr>
        <w:pStyle w:val="147"/>
        <w:keepLines/>
        <w:suppressAutoHyphens/>
        <w:spacing w:after="0" w:line="360" w:lineRule="auto"/>
        <w:ind w:left="0" w:firstLine="851"/>
        <w:jc w:val="both"/>
      </w:pPr>
      <w:r>
        <w:t>Проектом предусмотрено развитие автобусных маршрутов в связи с расширением жилых и производственных территорий и некоторым увеличением дальности поездок. Кроме этого, в селе получит дальнейшее развитие система маршрутных такси, регулируемая органами местного самоуправления и частным предпринимательством. Генеральным планом предложено размещение автопавильона при въезде в село по ул. Делегатской.</w:t>
      </w:r>
    </w:p>
    <w:p>
      <w:pPr>
        <w:pStyle w:val="147"/>
        <w:keepLines/>
        <w:suppressAutoHyphens/>
        <w:spacing w:after="0" w:line="360" w:lineRule="auto"/>
        <w:ind w:left="0" w:firstLine="851"/>
        <w:jc w:val="both"/>
      </w:pPr>
      <w:r>
        <w:t>Для обслуживания парка автомобилей предусмотрено расширить сеть придорожного автосервиса (станций технического обслуживания, автозаправочных станций и т.д.), новое строительство которых предусмотрено вдоль проектируемого северного обхода в пределах проектной границы населенного пункта.</w:t>
      </w:r>
    </w:p>
    <w:p>
      <w:pPr>
        <w:pStyle w:val="3"/>
        <w:keepNext w:val="0"/>
        <w:numPr>
          <w:ilvl w:val="1"/>
          <w:numId w:val="33"/>
        </w:numPr>
        <w:suppressAutoHyphens/>
        <w:spacing w:before="480" w:after="360" w:line="360" w:lineRule="auto"/>
        <w:ind w:left="0" w:firstLine="0"/>
        <w:jc w:val="center"/>
        <w:rPr>
          <w:rFonts w:ascii="Times New Roman" w:hAnsi="Times New Roman"/>
          <w:i w:val="0"/>
          <w:sz w:val="30"/>
          <w:szCs w:val="30"/>
        </w:rPr>
      </w:pPr>
      <w:bookmarkStart w:id="97" w:name="_Toc315701132"/>
      <w:bookmarkEnd w:id="97"/>
      <w:bookmarkStart w:id="98" w:name="_Toc315701128"/>
      <w:bookmarkEnd w:id="98"/>
      <w:bookmarkStart w:id="99" w:name="_Toc315701131"/>
      <w:bookmarkEnd w:id="99"/>
      <w:bookmarkStart w:id="100" w:name="_Toc315701129"/>
      <w:bookmarkEnd w:id="100"/>
      <w:bookmarkStart w:id="101" w:name="_Toc315701130"/>
      <w:bookmarkEnd w:id="101"/>
      <w:bookmarkStart w:id="102" w:name="_Toc342472323"/>
      <w:bookmarkStart w:id="103" w:name="_Toc247965276"/>
      <w:bookmarkStart w:id="104" w:name="_Toc268263644"/>
      <w:bookmarkStart w:id="105" w:name="_Toc57203202"/>
      <w:r>
        <w:rPr>
          <w:rFonts w:ascii="Times New Roman" w:hAnsi="Times New Roman"/>
          <w:i w:val="0"/>
          <w:sz w:val="30"/>
          <w:szCs w:val="30"/>
        </w:rPr>
        <w:t>Инженерное оборудование территории</w:t>
      </w:r>
      <w:bookmarkEnd w:id="102"/>
      <w:bookmarkEnd w:id="103"/>
      <w:bookmarkEnd w:id="104"/>
      <w:bookmarkEnd w:id="105"/>
    </w:p>
    <w:p>
      <w:pPr>
        <w:suppressAutoHyphens/>
        <w:spacing w:after="0" w:line="360" w:lineRule="auto"/>
        <w:ind w:firstLine="851"/>
        <w:jc w:val="both"/>
        <w:rPr>
          <w:rFonts w:eastAsia="Times New Roman"/>
        </w:rPr>
      </w:pPr>
      <w:bookmarkStart w:id="106" w:name="_Toc268263645"/>
      <w:bookmarkStart w:id="107" w:name="_Toc247965277"/>
      <w:bookmarkStart w:id="108" w:name="_Toc342472324"/>
      <w:r>
        <w:rPr>
          <w:rFonts w:eastAsia="Times New Roman"/>
        </w:rPr>
        <w:t xml:space="preserve">В составе Генерального плана </w:t>
      </w:r>
      <w:r>
        <w:rPr>
          <w:shd w:val="clear" w:color="auto" w:fill="FFFFFF"/>
        </w:rPr>
        <w:t>Ейскоукрепленского сельского поселения</w:t>
      </w:r>
      <w:r>
        <w:rPr>
          <w:rFonts w:eastAsia="Times New Roman"/>
        </w:rPr>
        <w:t xml:space="preserve"> разработаны мероприятия по развитию систем инженерного оборудования, направленные на комплексное инженерное обеспечение муниципального образования, модернизацию и реконструкцию устаревших инженерных коммуникаций и головных источников, внедрение политики ресурсосбережения.</w:t>
      </w:r>
    </w:p>
    <w:p>
      <w:pPr>
        <w:pStyle w:val="4"/>
        <w:keepNext w:val="0"/>
        <w:keepLines w:val="0"/>
        <w:numPr>
          <w:ilvl w:val="2"/>
          <w:numId w:val="33"/>
        </w:numPr>
        <w:spacing w:before="360" w:after="120" w:line="360" w:lineRule="auto"/>
        <w:ind w:left="0" w:firstLine="0"/>
        <w:jc w:val="center"/>
        <w:rPr>
          <w:rFonts w:ascii="Times New Roman" w:hAnsi="Times New Roman"/>
          <w:color w:val="auto"/>
          <w:sz w:val="28"/>
          <w:szCs w:val="28"/>
        </w:rPr>
      </w:pPr>
      <w:bookmarkStart w:id="109" w:name="_Toc57203203"/>
      <w:bookmarkStart w:id="110" w:name="_Toc353973238"/>
      <w:r>
        <w:rPr>
          <w:rFonts w:ascii="Times New Roman" w:hAnsi="Times New Roman"/>
          <w:color w:val="auto"/>
          <w:sz w:val="28"/>
          <w:szCs w:val="28"/>
        </w:rPr>
        <w:t>Водоснабжение</w:t>
      </w:r>
      <w:bookmarkEnd w:id="109"/>
      <w:bookmarkEnd w:id="110"/>
    </w:p>
    <w:p>
      <w:pPr>
        <w:pStyle w:val="147"/>
        <w:keepLines/>
        <w:suppressAutoHyphens/>
        <w:spacing w:after="0" w:line="360" w:lineRule="auto"/>
        <w:ind w:left="0" w:firstLine="851"/>
        <w:jc w:val="both"/>
      </w:pPr>
      <w:r>
        <w:t>В настоящее время население села Ейское Укрепление снабжается водой от сетей Ейского группового магистрального водопровода МВ-II-2, проходящего по ул. Ленина.</w:t>
      </w:r>
    </w:p>
    <w:p>
      <w:pPr>
        <w:pStyle w:val="147"/>
        <w:keepLines/>
        <w:suppressAutoHyphens/>
        <w:spacing w:after="0" w:line="360" w:lineRule="auto"/>
        <w:ind w:left="0" w:firstLine="851"/>
        <w:jc w:val="both"/>
      </w:pPr>
      <w:r>
        <w:t>Существующие сети, проложенные по селу, тупиковые из труб Ø50÷200 мм разных материалов: сталь, чугун, асбестоцемент и полиэтилен. Сети находятся в аварийном и изношенном состоянии, что не соответствует требованиям СанПиН 2.1.4.1110-02 «Зоны санитарной охраны источников водоснабжения» и СП 2.1.5.1059-01 «Гигиенические требования к охране подземных вод от загрязнений».</w:t>
      </w:r>
    </w:p>
    <w:p>
      <w:pPr>
        <w:pStyle w:val="147"/>
        <w:keepNext/>
        <w:spacing w:after="0" w:line="360" w:lineRule="auto"/>
        <w:ind w:left="0"/>
        <w:jc w:val="center"/>
        <w:rPr>
          <w:b/>
          <w:sz w:val="26"/>
          <w:szCs w:val="26"/>
        </w:rPr>
      </w:pPr>
      <w:r>
        <w:rPr>
          <w:b/>
          <w:sz w:val="26"/>
          <w:szCs w:val="26"/>
        </w:rPr>
        <w:t>Расчет водопотребления</w:t>
      </w:r>
    </w:p>
    <w:p>
      <w:pPr>
        <w:pStyle w:val="147"/>
        <w:keepLines/>
        <w:suppressAutoHyphens/>
        <w:spacing w:after="0" w:line="360" w:lineRule="auto"/>
        <w:ind w:left="0" w:firstLine="851"/>
        <w:jc w:val="both"/>
      </w:pPr>
      <w:r>
        <w:t xml:space="preserve">Удельное среднесуточное водопотребление на одного жителя принято в соответствии с региональными нормативами градостроительного проектирования Краснодарского края на I очередь в объеме 160 л/сутки, на расчетный срок – 160 л/сутки. </w:t>
      </w:r>
    </w:p>
    <w:p>
      <w:pPr>
        <w:pStyle w:val="147"/>
        <w:keepLines/>
        <w:suppressAutoHyphens/>
        <w:spacing w:after="0" w:line="360" w:lineRule="auto"/>
        <w:ind w:left="0" w:firstLine="851"/>
        <w:jc w:val="both"/>
      </w:pPr>
      <w:r>
        <w:t xml:space="preserve">Удельное водопотребление включает расходы воды на хозяйственно-питьевые нужды в жилых и общественных зданиях. </w:t>
      </w:r>
    </w:p>
    <w:p>
      <w:pPr>
        <w:pStyle w:val="147"/>
        <w:keepLines/>
        <w:suppressAutoHyphens/>
        <w:spacing w:after="0" w:line="360" w:lineRule="auto"/>
        <w:ind w:left="0" w:firstLine="851"/>
        <w:jc w:val="both"/>
      </w:pPr>
      <w:r>
        <w:t>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p>
    <w:p>
      <w:pPr>
        <w:pStyle w:val="147"/>
        <w:keepLines/>
        <w:suppressAutoHyphens/>
        <w:spacing w:after="0" w:line="360" w:lineRule="auto"/>
        <w:ind w:left="0" w:firstLine="851"/>
        <w:jc w:val="both"/>
      </w:pPr>
      <w:r>
        <w:t>Для расчета среднесуточного водопотребления в муниципальном образовании были приняты укрупненные показатели удельного водопотребления на 1 человека:</w:t>
      </w:r>
    </w:p>
    <w:p>
      <w:pPr>
        <w:pStyle w:val="147"/>
        <w:numPr>
          <w:ilvl w:val="0"/>
          <w:numId w:val="25"/>
        </w:numPr>
        <w:suppressAutoHyphens/>
        <w:spacing w:after="0" w:line="360" w:lineRule="auto"/>
        <w:jc w:val="both"/>
      </w:pPr>
      <w:r>
        <w:t>пользование водой из внутреннего водопровода– 160 л/сут.</w:t>
      </w:r>
    </w:p>
    <w:p>
      <w:pPr>
        <w:pStyle w:val="147"/>
        <w:keepLines/>
        <w:suppressAutoHyphens/>
        <w:spacing w:after="0" w:line="360" w:lineRule="auto"/>
        <w:ind w:left="0" w:firstLine="851"/>
        <w:jc w:val="both"/>
      </w:pPr>
      <w:r>
        <w:t>Расчет среднесуточного водопотребления на I очередь и расчетный срок Ейскоукрепленского сельского поселения представлены в таблице 16.</w:t>
      </w:r>
    </w:p>
    <w:p>
      <w:pPr>
        <w:suppressAutoHyphens/>
        <w:spacing w:after="0" w:line="360" w:lineRule="auto"/>
        <w:ind w:firstLine="851"/>
        <w:jc w:val="both"/>
        <w:rPr>
          <w:rFonts w:eastAsia="Times New Roman"/>
        </w:rPr>
      </w:pPr>
    </w:p>
    <w:p>
      <w:pPr>
        <w:spacing w:line="240" w:lineRule="auto"/>
        <w:jc w:val="center"/>
        <w:rPr>
          <w:b/>
          <w:bCs/>
        </w:rPr>
      </w:pPr>
      <w:r>
        <w:rPr>
          <w:b/>
          <w:bCs/>
        </w:rPr>
        <w:t>Расчет среднесуточного водопотребления на I очередь и расчетный срок Ейскоукрепленского сельского поселения</w:t>
      </w:r>
    </w:p>
    <w:p>
      <w:pPr>
        <w:pStyle w:val="147"/>
        <w:numPr>
          <w:ilvl w:val="0"/>
          <w:numId w:val="23"/>
        </w:numPr>
        <w:ind w:right="142"/>
        <w:jc w:val="right"/>
        <w:rPr>
          <w:b/>
          <w:bCs/>
        </w:rPr>
      </w:pPr>
      <w:r>
        <w:rPr>
          <w:b/>
          <w:bCs/>
        </w:rPr>
        <w:t>Таблица 1</w:t>
      </w:r>
      <w:r>
        <w:rPr>
          <w:rFonts w:hint="default"/>
          <w:b/>
          <w:bCs/>
          <w:lang w:val="ru-RU"/>
        </w:rPr>
        <w:t>4</w:t>
      </w:r>
    </w:p>
    <w:tbl>
      <w:tblPr>
        <w:tblStyle w:val="12"/>
        <w:tblW w:w="5000" w:type="pct"/>
        <w:tblInd w:w="0" w:type="dxa"/>
        <w:tblLayout w:type="autofit"/>
        <w:tblCellMar>
          <w:top w:w="0" w:type="dxa"/>
          <w:left w:w="108" w:type="dxa"/>
          <w:bottom w:w="0" w:type="dxa"/>
          <w:right w:w="108" w:type="dxa"/>
        </w:tblCellMar>
      </w:tblPr>
      <w:tblGrid>
        <w:gridCol w:w="3641"/>
        <w:gridCol w:w="1067"/>
        <w:gridCol w:w="923"/>
        <w:gridCol w:w="1067"/>
        <w:gridCol w:w="1098"/>
        <w:gridCol w:w="1067"/>
        <w:gridCol w:w="1133"/>
      </w:tblGrid>
      <w:tr>
        <w:tblPrEx>
          <w:tblCellMar>
            <w:top w:w="0" w:type="dxa"/>
            <w:left w:w="108" w:type="dxa"/>
            <w:bottom w:w="0" w:type="dxa"/>
            <w:right w:w="108" w:type="dxa"/>
          </w:tblCellMar>
        </w:tblPrEx>
        <w:trPr>
          <w:trHeight w:val="585" w:hRule="atLeast"/>
          <w:tblHeader/>
        </w:trPr>
        <w:tc>
          <w:tcPr>
            <w:tcW w:w="1880"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Наименование потребителей</w:t>
            </w:r>
          </w:p>
        </w:tc>
        <w:tc>
          <w:tcPr>
            <w:tcW w:w="1033"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Число жителей, чел.</w:t>
            </w:r>
          </w:p>
        </w:tc>
        <w:tc>
          <w:tcPr>
            <w:tcW w:w="1048"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Норма водопотребления, л/сут. чел.</w:t>
            </w:r>
          </w:p>
        </w:tc>
        <w:tc>
          <w:tcPr>
            <w:tcW w:w="1040"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Суточный расход воды населением, м</w:t>
            </w:r>
            <w:r>
              <w:rPr>
                <w:rFonts w:eastAsia="Times New Roman"/>
                <w:b/>
                <w:bCs/>
                <w:color w:val="000000"/>
                <w:kern w:val="0"/>
                <w:vertAlign w:val="superscript"/>
                <w:lang w:eastAsia="ru-RU"/>
              </w:rPr>
              <w:t>3</w:t>
            </w:r>
            <w:r>
              <w:rPr>
                <w:rFonts w:eastAsia="Times New Roman"/>
                <w:b/>
                <w:bCs/>
                <w:color w:val="000000"/>
                <w:kern w:val="0"/>
                <w:lang w:eastAsia="ru-RU"/>
              </w:rPr>
              <w:t>/сут.</w:t>
            </w:r>
          </w:p>
        </w:tc>
      </w:tr>
      <w:tr>
        <w:tblPrEx>
          <w:tblCellMar>
            <w:top w:w="0" w:type="dxa"/>
            <w:left w:w="108" w:type="dxa"/>
            <w:bottom w:w="0" w:type="dxa"/>
            <w:right w:w="108" w:type="dxa"/>
          </w:tblCellMar>
        </w:tblPrEx>
        <w:trPr>
          <w:trHeight w:val="975" w:hRule="atLeast"/>
          <w:tblHeader/>
        </w:trPr>
        <w:tc>
          <w:tcPr>
            <w:tcW w:w="1880" w:type="pct"/>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outlineLvl w:val="0"/>
              <w:rPr>
                <w:rFonts w:eastAsia="Times New Roman"/>
                <w:b/>
                <w:bCs/>
                <w:color w:val="000000"/>
                <w:kern w:val="0"/>
                <w:lang w:eastAsia="ru-RU"/>
              </w:rPr>
            </w:pP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11" w:name="_Toc55908880"/>
            <w:bookmarkStart w:id="112" w:name="_Toc57203204"/>
            <w:r>
              <w:rPr>
                <w:rFonts w:eastAsia="Times New Roman"/>
                <w:b/>
                <w:bCs/>
                <w:color w:val="000000"/>
                <w:kern w:val="0"/>
                <w:lang w:eastAsia="ru-RU"/>
              </w:rPr>
              <w:t>I очередь</w:t>
            </w:r>
            <w:bookmarkEnd w:id="111"/>
            <w:bookmarkEnd w:id="112"/>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13" w:name="_Toc55908881"/>
            <w:bookmarkStart w:id="114" w:name="_Toc57203205"/>
            <w:r>
              <w:rPr>
                <w:rFonts w:eastAsia="Times New Roman"/>
                <w:b/>
                <w:bCs/>
                <w:color w:val="000000"/>
                <w:kern w:val="0"/>
                <w:lang w:eastAsia="ru-RU"/>
              </w:rPr>
              <w:t>расчетный срок</w:t>
            </w:r>
            <w:bookmarkEnd w:id="113"/>
            <w:bookmarkEnd w:id="114"/>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15" w:name="_Toc57203206"/>
            <w:bookmarkStart w:id="116" w:name="_Toc55908882"/>
            <w:r>
              <w:rPr>
                <w:rFonts w:eastAsia="Times New Roman"/>
                <w:b/>
                <w:bCs/>
                <w:color w:val="000000"/>
                <w:kern w:val="0"/>
                <w:lang w:eastAsia="ru-RU"/>
              </w:rPr>
              <w:t>I очередь</w:t>
            </w:r>
            <w:bookmarkEnd w:id="115"/>
            <w:bookmarkEnd w:id="116"/>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17" w:name="_Toc55908883"/>
            <w:bookmarkStart w:id="118" w:name="_Toc57203207"/>
            <w:r>
              <w:rPr>
                <w:rFonts w:eastAsia="Times New Roman"/>
                <w:b/>
                <w:bCs/>
                <w:color w:val="000000"/>
                <w:kern w:val="0"/>
                <w:lang w:eastAsia="ru-RU"/>
              </w:rPr>
              <w:t>расчетный срок</w:t>
            </w:r>
            <w:bookmarkEnd w:id="117"/>
            <w:bookmarkEnd w:id="118"/>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19" w:name="_Toc55908884"/>
            <w:bookmarkStart w:id="120" w:name="_Toc57203208"/>
            <w:r>
              <w:rPr>
                <w:rFonts w:eastAsia="Times New Roman"/>
                <w:b/>
                <w:bCs/>
                <w:color w:val="000000"/>
                <w:kern w:val="0"/>
                <w:lang w:eastAsia="ru-RU"/>
              </w:rPr>
              <w:t>I очередь</w:t>
            </w:r>
            <w:bookmarkEnd w:id="119"/>
            <w:bookmarkEnd w:id="120"/>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b/>
                <w:bCs/>
                <w:color w:val="000000"/>
                <w:kern w:val="0"/>
                <w:lang w:eastAsia="ru-RU"/>
              </w:rPr>
            </w:pPr>
            <w:bookmarkStart w:id="121" w:name="_Toc55908885"/>
            <w:bookmarkStart w:id="122" w:name="_Toc57203209"/>
            <w:r>
              <w:rPr>
                <w:rFonts w:eastAsia="Times New Roman"/>
                <w:b/>
                <w:bCs/>
                <w:color w:val="000000"/>
                <w:kern w:val="0"/>
                <w:lang w:eastAsia="ru-RU"/>
              </w:rPr>
              <w:t>расчетный срок</w:t>
            </w:r>
            <w:bookmarkEnd w:id="121"/>
            <w:bookmarkEnd w:id="122"/>
          </w:p>
        </w:tc>
      </w:tr>
      <w:tr>
        <w:tblPrEx>
          <w:tblCellMar>
            <w:top w:w="0" w:type="dxa"/>
            <w:left w:w="108" w:type="dxa"/>
            <w:bottom w:w="0" w:type="dxa"/>
            <w:right w:w="108" w:type="dxa"/>
          </w:tblCellMar>
        </w:tblPrEx>
        <w:trPr>
          <w:trHeight w:val="1305" w:hRule="atLeast"/>
        </w:trPr>
        <w:tc>
          <w:tcPr>
            <w:tcW w:w="188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outlineLvl w:val="0"/>
              <w:rPr>
                <w:rFonts w:eastAsia="Times New Roman"/>
                <w:color w:val="000000"/>
                <w:kern w:val="0"/>
                <w:lang w:eastAsia="ru-RU"/>
              </w:rPr>
            </w:pPr>
            <w:bookmarkStart w:id="123" w:name="_Toc55908886"/>
            <w:bookmarkStart w:id="124" w:name="_Toc57203210"/>
            <w:r>
              <w:rPr>
                <w:rFonts w:eastAsia="Times New Roman"/>
                <w:color w:val="000000"/>
                <w:kern w:val="0"/>
                <w:lang w:eastAsia="ru-RU"/>
              </w:rPr>
              <w:t>Застройка зданиями, оборудованными внутренним водопроводом и канализацией, с ванными и местными водонагревателями</w:t>
            </w:r>
            <w:bookmarkEnd w:id="123"/>
            <w:bookmarkEnd w:id="124"/>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color w:val="000000"/>
                <w:kern w:val="0"/>
                <w:lang w:eastAsia="ru-RU"/>
              </w:rPr>
            </w:pPr>
            <w:bookmarkStart w:id="125" w:name="_Toc55908887"/>
            <w:bookmarkStart w:id="126" w:name="_Toc57203211"/>
            <w:r>
              <w:rPr>
                <w:rFonts w:eastAsia="Times New Roman"/>
                <w:color w:val="000000"/>
                <w:kern w:val="0"/>
                <w:lang w:eastAsia="ru-RU"/>
              </w:rPr>
              <w:t>2 265</w:t>
            </w:r>
            <w:bookmarkEnd w:id="125"/>
            <w:bookmarkEnd w:id="126"/>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color w:val="000000"/>
                <w:kern w:val="0"/>
                <w:lang w:eastAsia="ru-RU"/>
              </w:rPr>
            </w:pPr>
            <w:bookmarkStart w:id="127" w:name="_Toc57203212"/>
            <w:bookmarkStart w:id="128" w:name="_Toc55908888"/>
            <w:r>
              <w:rPr>
                <w:rFonts w:eastAsia="Times New Roman"/>
                <w:color w:val="000000"/>
                <w:kern w:val="0"/>
                <w:lang w:eastAsia="ru-RU"/>
              </w:rPr>
              <w:t>2 477</w:t>
            </w:r>
            <w:bookmarkEnd w:id="127"/>
            <w:bookmarkEnd w:id="128"/>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kern w:val="0"/>
                <w:lang w:eastAsia="ru-RU"/>
              </w:rPr>
            </w:pPr>
            <w:bookmarkStart w:id="129" w:name="_Toc55908889"/>
            <w:bookmarkStart w:id="130" w:name="_Toc57203213"/>
            <w:r>
              <w:rPr>
                <w:rFonts w:eastAsia="Times New Roman"/>
                <w:kern w:val="0"/>
                <w:lang w:eastAsia="ru-RU"/>
              </w:rPr>
              <w:t>160</w:t>
            </w:r>
            <w:bookmarkEnd w:id="129"/>
            <w:bookmarkEnd w:id="130"/>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kern w:val="0"/>
                <w:lang w:eastAsia="ru-RU"/>
              </w:rPr>
            </w:pPr>
            <w:bookmarkStart w:id="131" w:name="_Toc55908890"/>
            <w:bookmarkStart w:id="132" w:name="_Toc57203214"/>
            <w:r>
              <w:rPr>
                <w:rFonts w:eastAsia="Times New Roman"/>
                <w:kern w:val="0"/>
                <w:lang w:eastAsia="ru-RU"/>
              </w:rPr>
              <w:t>160</w:t>
            </w:r>
            <w:bookmarkEnd w:id="131"/>
            <w:bookmarkEnd w:id="132"/>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color w:val="000000"/>
                <w:kern w:val="0"/>
                <w:lang w:eastAsia="ru-RU"/>
              </w:rPr>
            </w:pPr>
            <w:bookmarkStart w:id="133" w:name="_Toc57203215"/>
            <w:bookmarkStart w:id="134" w:name="_Toc55908891"/>
            <w:r>
              <w:rPr>
                <w:rFonts w:eastAsia="Times New Roman"/>
                <w:color w:val="000000"/>
                <w:kern w:val="0"/>
                <w:lang w:eastAsia="ru-RU"/>
              </w:rPr>
              <w:t>362</w:t>
            </w:r>
            <w:bookmarkEnd w:id="133"/>
            <w:bookmarkEnd w:id="134"/>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outlineLvl w:val="0"/>
              <w:rPr>
                <w:rFonts w:eastAsia="Times New Roman"/>
                <w:color w:val="000000"/>
                <w:kern w:val="0"/>
                <w:lang w:eastAsia="ru-RU"/>
              </w:rPr>
            </w:pPr>
            <w:bookmarkStart w:id="135" w:name="_Toc55908892"/>
            <w:bookmarkStart w:id="136" w:name="_Toc57203216"/>
            <w:r>
              <w:rPr>
                <w:rFonts w:eastAsia="Times New Roman"/>
                <w:color w:val="000000"/>
                <w:kern w:val="0"/>
                <w:lang w:eastAsia="ru-RU"/>
              </w:rPr>
              <w:t>396</w:t>
            </w:r>
            <w:bookmarkEnd w:id="135"/>
            <w:bookmarkEnd w:id="136"/>
          </w:p>
        </w:tc>
      </w:tr>
      <w:tr>
        <w:tblPrEx>
          <w:tblCellMar>
            <w:top w:w="0" w:type="dxa"/>
            <w:left w:w="108" w:type="dxa"/>
            <w:bottom w:w="0" w:type="dxa"/>
            <w:right w:w="108" w:type="dxa"/>
          </w:tblCellMar>
        </w:tblPrEx>
        <w:trPr>
          <w:trHeight w:val="855" w:hRule="atLeast"/>
        </w:trPr>
        <w:tc>
          <w:tcPr>
            <w:tcW w:w="188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Население</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2 265</w:t>
            </w:r>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2 477</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160</w:t>
            </w:r>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160</w:t>
            </w:r>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362</w:t>
            </w:r>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396</w:t>
            </w:r>
          </w:p>
        </w:tc>
      </w:tr>
      <w:tr>
        <w:tblPrEx>
          <w:tblCellMar>
            <w:top w:w="0" w:type="dxa"/>
            <w:left w:w="108" w:type="dxa"/>
            <w:bottom w:w="0" w:type="dxa"/>
            <w:right w:w="108" w:type="dxa"/>
          </w:tblCellMar>
        </w:tblPrEx>
        <w:trPr>
          <w:trHeight w:val="1110" w:hRule="atLeast"/>
        </w:trPr>
        <w:tc>
          <w:tcPr>
            <w:tcW w:w="188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Неучтенные расходы включая нужды промышленности (15% общего водопотребления)</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54</w:t>
            </w:r>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59</w:t>
            </w:r>
          </w:p>
        </w:tc>
      </w:tr>
      <w:tr>
        <w:tblPrEx>
          <w:tblCellMar>
            <w:top w:w="0" w:type="dxa"/>
            <w:left w:w="108" w:type="dxa"/>
            <w:bottom w:w="0" w:type="dxa"/>
            <w:right w:w="108" w:type="dxa"/>
          </w:tblCellMar>
        </w:tblPrEx>
        <w:trPr>
          <w:trHeight w:val="930" w:hRule="atLeast"/>
        </w:trPr>
        <w:tc>
          <w:tcPr>
            <w:tcW w:w="188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bCs/>
                <w:kern w:val="0"/>
                <w:lang w:eastAsia="ru-RU"/>
              </w:rPr>
            </w:pPr>
            <w:r>
              <w:rPr>
                <w:rFonts w:eastAsia="Times New Roman"/>
                <w:b/>
                <w:bCs/>
                <w:kern w:val="0"/>
                <w:lang w:eastAsia="ru-RU"/>
              </w:rPr>
              <w:t>Поливка зеленых насаждений (10% общего водопотребления)</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36</w:t>
            </w:r>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40</w:t>
            </w:r>
          </w:p>
        </w:tc>
      </w:tr>
      <w:tr>
        <w:tblPrEx>
          <w:tblCellMar>
            <w:top w:w="0" w:type="dxa"/>
            <w:left w:w="108" w:type="dxa"/>
            <w:bottom w:w="0" w:type="dxa"/>
            <w:right w:w="108" w:type="dxa"/>
          </w:tblCellMar>
        </w:tblPrEx>
        <w:trPr>
          <w:trHeight w:val="915" w:hRule="atLeast"/>
        </w:trPr>
        <w:tc>
          <w:tcPr>
            <w:tcW w:w="188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Итого</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2 265</w:t>
            </w:r>
          </w:p>
        </w:tc>
        <w:tc>
          <w:tcPr>
            <w:tcW w:w="51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2 477</w:t>
            </w:r>
          </w:p>
        </w:tc>
        <w:tc>
          <w:tcPr>
            <w:tcW w:w="51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200</w:t>
            </w:r>
          </w:p>
        </w:tc>
        <w:tc>
          <w:tcPr>
            <w:tcW w:w="535"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200</w:t>
            </w:r>
          </w:p>
        </w:tc>
        <w:tc>
          <w:tcPr>
            <w:tcW w:w="41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453</w:t>
            </w:r>
          </w:p>
        </w:tc>
        <w:tc>
          <w:tcPr>
            <w:tcW w:w="62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495</w:t>
            </w:r>
          </w:p>
        </w:tc>
      </w:tr>
    </w:tbl>
    <w:p>
      <w:pPr>
        <w:ind w:right="142"/>
        <w:jc w:val="right"/>
        <w:rPr>
          <w:b/>
          <w:bCs/>
        </w:rPr>
      </w:pPr>
    </w:p>
    <w:p>
      <w:pPr>
        <w:pStyle w:val="147"/>
        <w:keepLines/>
        <w:suppressAutoHyphens/>
        <w:spacing w:after="0" w:line="360" w:lineRule="auto"/>
        <w:ind w:left="0" w:firstLine="851"/>
        <w:jc w:val="both"/>
      </w:pPr>
      <w:r>
        <w:t>Суточный расход воды в Ейскоукрепленском сельском поселении на расчетный срок составит 495 м</w:t>
      </w:r>
      <w:r>
        <w:rPr>
          <w:vertAlign w:val="superscript"/>
        </w:rPr>
        <w:t>3</w:t>
      </w:r>
      <w:r>
        <w:t>/сутки (I очередь 453 м</w:t>
      </w:r>
      <w:r>
        <w:rPr>
          <w:vertAlign w:val="superscript"/>
        </w:rPr>
        <w:t>3</w:t>
      </w:r>
      <w:r>
        <w:t>/сутки).</w:t>
      </w:r>
    </w:p>
    <w:p>
      <w:pPr>
        <w:suppressAutoHyphens/>
        <w:spacing w:after="0" w:line="360" w:lineRule="auto"/>
        <w:ind w:firstLine="851"/>
        <w:jc w:val="both"/>
        <w:rPr>
          <w:b/>
          <w:bCs/>
        </w:rPr>
      </w:pPr>
    </w:p>
    <w:p>
      <w:pPr>
        <w:spacing w:line="240" w:lineRule="auto"/>
        <w:jc w:val="center"/>
        <w:rPr>
          <w:b/>
          <w:bCs/>
        </w:rPr>
      </w:pPr>
    </w:p>
    <w:p>
      <w:pPr>
        <w:spacing w:line="240" w:lineRule="auto"/>
        <w:jc w:val="center"/>
        <w:rPr>
          <w:b/>
          <w:bCs/>
        </w:rPr>
      </w:pPr>
      <w:r>
        <w:rPr>
          <w:b/>
          <w:bCs/>
        </w:rPr>
        <w:t>Расчет максимального водопотребления</w:t>
      </w:r>
    </w:p>
    <w:p>
      <w:pPr>
        <w:pStyle w:val="147"/>
        <w:numPr>
          <w:ilvl w:val="0"/>
          <w:numId w:val="23"/>
        </w:numPr>
        <w:ind w:right="142"/>
        <w:jc w:val="right"/>
        <w:rPr>
          <w:b/>
          <w:bCs/>
        </w:rPr>
      </w:pPr>
      <w:r>
        <w:rPr>
          <w:b/>
          <w:bCs/>
        </w:rPr>
        <w:t>Таблица 1</w:t>
      </w:r>
      <w:r>
        <w:rPr>
          <w:rFonts w:hint="default"/>
          <w:b/>
          <w:bCs/>
          <w:lang w:val="ru-RU"/>
        </w:rPr>
        <w:t>5</w:t>
      </w:r>
    </w:p>
    <w:tbl>
      <w:tblPr>
        <w:tblStyle w:val="12"/>
        <w:tblW w:w="5000" w:type="pct"/>
        <w:tblInd w:w="0" w:type="dxa"/>
        <w:tblLayout w:type="autofit"/>
        <w:tblCellMar>
          <w:top w:w="0" w:type="dxa"/>
          <w:left w:w="108" w:type="dxa"/>
          <w:bottom w:w="0" w:type="dxa"/>
          <w:right w:w="108" w:type="dxa"/>
        </w:tblCellMar>
      </w:tblPr>
      <w:tblGrid>
        <w:gridCol w:w="1075"/>
        <w:gridCol w:w="5014"/>
        <w:gridCol w:w="1368"/>
        <w:gridCol w:w="1188"/>
        <w:gridCol w:w="1351"/>
      </w:tblGrid>
      <w:tr>
        <w:tblPrEx>
          <w:tblCellMar>
            <w:top w:w="0" w:type="dxa"/>
            <w:left w:w="108" w:type="dxa"/>
            <w:bottom w:w="0" w:type="dxa"/>
            <w:right w:w="108" w:type="dxa"/>
          </w:tblCellMar>
        </w:tblPrEx>
        <w:trPr>
          <w:trHeight w:val="510" w:hRule="atLeast"/>
        </w:trPr>
        <w:tc>
          <w:tcPr>
            <w:tcW w:w="540" w:type="pc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 п/п</w:t>
            </w:r>
          </w:p>
        </w:tc>
        <w:tc>
          <w:tcPr>
            <w:tcW w:w="2510"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Наименование показателя</w:t>
            </w:r>
          </w:p>
        </w:tc>
        <w:tc>
          <w:tcPr>
            <w:tcW w:w="676" w:type="pc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Единица измерения</w:t>
            </w:r>
          </w:p>
        </w:tc>
        <w:tc>
          <w:tcPr>
            <w:tcW w:w="596"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I очередь</w:t>
            </w:r>
          </w:p>
        </w:tc>
        <w:tc>
          <w:tcPr>
            <w:tcW w:w="678"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Расчётный срок</w:t>
            </w:r>
          </w:p>
        </w:tc>
      </w:tr>
      <w:tr>
        <w:tblPrEx>
          <w:tblCellMar>
            <w:top w:w="0" w:type="dxa"/>
            <w:left w:w="108" w:type="dxa"/>
            <w:bottom w:w="0" w:type="dxa"/>
            <w:right w:w="108" w:type="dxa"/>
          </w:tblCellMar>
        </w:tblPrEx>
        <w:trPr>
          <w:trHeight w:val="315"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Среднесуточный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/сут</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453</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495</w:t>
            </w:r>
          </w:p>
        </w:tc>
      </w:tr>
      <w:tr>
        <w:tblPrEx>
          <w:tblCellMar>
            <w:top w:w="0" w:type="dxa"/>
            <w:left w:w="108" w:type="dxa"/>
            <w:bottom w:w="0" w:type="dxa"/>
            <w:right w:w="108" w:type="dxa"/>
          </w:tblCellMar>
        </w:tblPrEx>
        <w:trPr>
          <w:trHeight w:val="300"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Коэффициент суточной неравномерности</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1,20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1,20 </w:t>
            </w:r>
          </w:p>
        </w:tc>
      </w:tr>
      <w:tr>
        <w:tblPrEx>
          <w:tblCellMar>
            <w:top w:w="0" w:type="dxa"/>
            <w:left w:w="108" w:type="dxa"/>
            <w:bottom w:w="0" w:type="dxa"/>
            <w:right w:w="108" w:type="dxa"/>
          </w:tblCellMar>
        </w:tblPrEx>
        <w:trPr>
          <w:trHeight w:val="315"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Максимальный суточный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/сут</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543,6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594,6 </w:t>
            </w:r>
          </w:p>
        </w:tc>
      </w:tr>
      <w:tr>
        <w:tblPrEx>
          <w:tblCellMar>
            <w:top w:w="0" w:type="dxa"/>
            <w:left w:w="108" w:type="dxa"/>
            <w:bottom w:w="0" w:type="dxa"/>
            <w:right w:w="108" w:type="dxa"/>
          </w:tblCellMar>
        </w:tblPrEx>
        <w:trPr>
          <w:trHeight w:val="315"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Средний часовой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/час</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22,7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24,8 </w:t>
            </w:r>
          </w:p>
        </w:tc>
      </w:tr>
      <w:tr>
        <w:tblPrEx>
          <w:tblCellMar>
            <w:top w:w="0" w:type="dxa"/>
            <w:left w:w="108" w:type="dxa"/>
            <w:bottom w:w="0" w:type="dxa"/>
            <w:right w:w="108" w:type="dxa"/>
          </w:tblCellMar>
        </w:tblPrEx>
        <w:trPr>
          <w:trHeight w:val="300"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Коэффициент часовой неравномерности</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1,79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1,79 </w:t>
            </w:r>
          </w:p>
        </w:tc>
      </w:tr>
      <w:tr>
        <w:tblPrEx>
          <w:tblCellMar>
            <w:top w:w="0" w:type="dxa"/>
            <w:left w:w="108" w:type="dxa"/>
            <w:bottom w:w="0" w:type="dxa"/>
            <w:right w:w="108" w:type="dxa"/>
          </w:tblCellMar>
        </w:tblPrEx>
        <w:trPr>
          <w:trHeight w:val="315"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6</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Максимальный часовой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/час</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40,4</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44,2 </w:t>
            </w:r>
          </w:p>
        </w:tc>
      </w:tr>
      <w:tr>
        <w:tblPrEx>
          <w:tblCellMar>
            <w:top w:w="0" w:type="dxa"/>
            <w:left w:w="108" w:type="dxa"/>
            <w:bottom w:w="0" w:type="dxa"/>
            <w:right w:w="108" w:type="dxa"/>
          </w:tblCellMar>
        </w:tblPrEx>
        <w:trPr>
          <w:trHeight w:val="300" w:hRule="atLeast"/>
        </w:trPr>
        <w:tc>
          <w:tcPr>
            <w:tcW w:w="54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7</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Максимальный секундный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л/сек</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11,24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12,29 </w:t>
            </w:r>
          </w:p>
        </w:tc>
      </w:tr>
      <w:tr>
        <w:tblPrEx>
          <w:tblCellMar>
            <w:top w:w="0" w:type="dxa"/>
            <w:left w:w="108" w:type="dxa"/>
            <w:bottom w:w="0" w:type="dxa"/>
            <w:right w:w="108" w:type="dxa"/>
          </w:tblCellMar>
        </w:tblPrEx>
        <w:trPr>
          <w:trHeight w:val="300" w:hRule="atLeast"/>
        </w:trPr>
        <w:tc>
          <w:tcPr>
            <w:tcW w:w="540" w:type="pc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eastAsia="Times New Roman"/>
                <w:kern w:val="0"/>
                <w:lang w:eastAsia="ru-RU"/>
              </w:rPr>
            </w:pPr>
            <w:r>
              <w:rPr>
                <w:rFonts w:eastAsia="Times New Roman"/>
                <w:kern w:val="0"/>
                <w:lang w:eastAsia="ru-RU"/>
              </w:rPr>
              <w:t>8</w:t>
            </w:r>
          </w:p>
        </w:tc>
        <w:tc>
          <w:tcPr>
            <w:tcW w:w="251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Максимальный суточный расход</w:t>
            </w:r>
          </w:p>
        </w:tc>
        <w:tc>
          <w:tcPr>
            <w:tcW w:w="67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л/сек</w:t>
            </w:r>
          </w:p>
        </w:tc>
        <w:tc>
          <w:tcPr>
            <w:tcW w:w="59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970,75 </w:t>
            </w:r>
          </w:p>
        </w:tc>
        <w:tc>
          <w:tcPr>
            <w:tcW w:w="678"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 xml:space="preserve">1061,74 </w:t>
            </w:r>
          </w:p>
        </w:tc>
      </w:tr>
    </w:tbl>
    <w:p>
      <w:pPr>
        <w:suppressAutoHyphens/>
        <w:spacing w:after="0" w:line="360" w:lineRule="auto"/>
        <w:jc w:val="both"/>
      </w:pPr>
    </w:p>
    <w:p>
      <w:pPr>
        <w:pStyle w:val="147"/>
        <w:keepLines/>
        <w:suppressAutoHyphens/>
        <w:spacing w:after="0" w:line="360" w:lineRule="auto"/>
        <w:ind w:left="0" w:firstLine="851"/>
        <w:jc w:val="both"/>
      </w:pPr>
      <w:r>
        <w:t>На участках с большой степенью износа предлагается вводить постепенную замену старого трубопровода новым, современным. Замену следует осуществлять с использованием полимерных труб, которые имеют повышенный срок службы до 50 лет.</w:t>
      </w:r>
    </w:p>
    <w:p>
      <w:pPr>
        <w:suppressAutoHyphens/>
        <w:spacing w:after="0" w:line="360" w:lineRule="auto"/>
        <w:ind w:firstLine="851"/>
        <w:jc w:val="both"/>
        <w:rPr>
          <w:rFonts w:eastAsia="Times New Roman"/>
        </w:rPr>
      </w:pPr>
    </w:p>
    <w:p>
      <w:pPr>
        <w:spacing w:line="240" w:lineRule="auto"/>
        <w:jc w:val="center"/>
        <w:rPr>
          <w:b/>
          <w:bCs/>
        </w:rPr>
      </w:pPr>
      <w:r>
        <w:rPr>
          <w:b/>
          <w:bCs/>
        </w:rPr>
        <w:t>Противопожарное водоснабжение поселения</w:t>
      </w:r>
    </w:p>
    <w:p>
      <w:pPr>
        <w:pStyle w:val="147"/>
        <w:keepLines/>
        <w:suppressAutoHyphens/>
        <w:spacing w:after="0" w:line="360" w:lineRule="auto"/>
        <w:ind w:left="0" w:firstLine="851"/>
        <w:jc w:val="both"/>
      </w:pPr>
      <w:r>
        <w:t xml:space="preserve">На территории муниципального образования противопожарное водоснабжение населенных пунктов осуществляется наружными источниками – из естественных водоемов и централизованной системы водоснабжения, объединенной с противопожарной. </w:t>
      </w:r>
    </w:p>
    <w:p>
      <w:pPr>
        <w:suppressAutoHyphens/>
        <w:spacing w:after="0" w:line="360" w:lineRule="auto"/>
        <w:ind w:firstLine="851"/>
        <w:jc w:val="both"/>
        <w:rPr>
          <w:rFonts w:eastAsia="Times New Roman"/>
        </w:rPr>
      </w:pPr>
    </w:p>
    <w:p>
      <w:pPr>
        <w:spacing w:line="240" w:lineRule="auto"/>
        <w:jc w:val="center"/>
        <w:rPr>
          <w:b/>
          <w:bCs/>
        </w:rPr>
      </w:pPr>
      <w:r>
        <w:rPr>
          <w:b/>
          <w:bCs/>
        </w:rPr>
        <w:t>Расходы воды на пожаротушение</w:t>
      </w:r>
    </w:p>
    <w:p>
      <w:pPr>
        <w:suppressAutoHyphens/>
        <w:spacing w:after="0" w:line="360" w:lineRule="auto"/>
        <w:ind w:firstLine="851"/>
        <w:jc w:val="both"/>
      </w:pPr>
      <w:r>
        <w:t>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населенного пункта согласно СП 8.13130.2020. «Системы противопожарной защиты. Наружное противопожарное водоснабжение. Требования пожарной безопасности».</w:t>
      </w:r>
    </w:p>
    <w:p>
      <w:pPr>
        <w:suppressAutoHyphens/>
        <w:spacing w:after="0" w:line="360" w:lineRule="auto"/>
        <w:ind w:firstLine="851"/>
        <w:jc w:val="both"/>
      </w:pPr>
      <w:r>
        <w:t>Для расчета расхода воды на наружное пожаротушение принят один одновременный пожар с расходом воды 10 л/сек. Продолжительность тушения пожара – 3 часа. Учитывая вышеизложенное, потребный расход воды на пожаротушение на I очередь и расчетный срок строительства составит:</w:t>
      </w:r>
    </w:p>
    <w:p>
      <w:pPr>
        <w:widowControl w:val="0"/>
        <w:spacing w:after="0" w:line="360" w:lineRule="auto"/>
        <w:ind w:firstLine="851"/>
        <w:contextualSpacing/>
        <w:jc w:val="center"/>
        <w:rPr>
          <w:position w:val="-24"/>
        </w:rPr>
      </w:pPr>
      <w:r>
        <w:rPr>
          <w:position w:val="-24"/>
        </w:rPr>
        <w:object>
          <v:shape id="_x0000_i1025" o:spt="75" type="#_x0000_t75" style="height:30.75pt;width:122.2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p>
      <w:pPr>
        <w:suppressAutoHyphens/>
        <w:spacing w:after="0" w:line="360" w:lineRule="auto"/>
        <w:ind w:firstLine="851"/>
        <w:jc w:val="both"/>
      </w:pPr>
      <w:r>
        <w:t>Максимальный срок восстановления пожарного объема воды должен быть не более 72 часов.</w:t>
      </w:r>
    </w:p>
    <w:p>
      <w:pPr>
        <w:keepNext/>
        <w:suppressAutoHyphens/>
        <w:spacing w:after="0" w:line="360" w:lineRule="auto"/>
        <w:ind w:firstLine="709"/>
        <w:contextualSpacing/>
        <w:jc w:val="center"/>
        <w:rPr>
          <w:b/>
        </w:rPr>
      </w:pPr>
      <w:r>
        <w:rPr>
          <w:b/>
        </w:rPr>
        <w:t>Проектные предложения</w:t>
      </w:r>
    </w:p>
    <w:p>
      <w:pPr>
        <w:pStyle w:val="147"/>
        <w:keepLines/>
        <w:suppressAutoHyphens/>
        <w:spacing w:after="0" w:line="360" w:lineRule="auto"/>
        <w:ind w:left="0" w:firstLine="851"/>
        <w:jc w:val="both"/>
      </w:pPr>
      <w:r>
        <w:t xml:space="preserve">В поселке предусматривается развитие систем водоснабжения, включая строительство и реконструкцию водозаборов, водопроводных сетей, обустройство зон санитарной охраны водозаборов и водопроводных сооружений. </w:t>
      </w:r>
    </w:p>
    <w:p>
      <w:pPr>
        <w:pStyle w:val="147"/>
        <w:keepLines/>
        <w:suppressAutoHyphens/>
        <w:spacing w:after="0" w:line="360" w:lineRule="auto"/>
        <w:ind w:left="0" w:firstLine="851"/>
        <w:jc w:val="both"/>
        <w:rPr>
          <w:b/>
        </w:rPr>
      </w:pPr>
      <w:r>
        <w:rPr>
          <w:b/>
        </w:rPr>
        <w:t>Генеральным планом предлагается предусмотреть следующие мероприятия на I очередь строительства:</w:t>
      </w:r>
    </w:p>
    <w:p>
      <w:pPr>
        <w:pStyle w:val="147"/>
        <w:numPr>
          <w:ilvl w:val="0"/>
          <w:numId w:val="25"/>
        </w:numPr>
        <w:suppressAutoHyphens/>
        <w:spacing w:after="0" w:line="360" w:lineRule="auto"/>
        <w:jc w:val="both"/>
      </w:pPr>
      <w:r>
        <w:t>капитальный ремонт имеющихся водозаборных сооружений, бурение артезианских скважин (улучшение обеспечения населения качественной питьевой водой);</w:t>
      </w:r>
    </w:p>
    <w:p>
      <w:pPr>
        <w:pStyle w:val="147"/>
        <w:numPr>
          <w:ilvl w:val="0"/>
          <w:numId w:val="25"/>
        </w:numPr>
        <w:suppressAutoHyphens/>
        <w:spacing w:after="0" w:line="360" w:lineRule="auto"/>
        <w:jc w:val="both"/>
      </w:pPr>
      <w:r>
        <w:t>прокладка уличного водопровода на застроенной территории поселка, не оборудованной водопроводом;</w:t>
      </w:r>
    </w:p>
    <w:p>
      <w:pPr>
        <w:pStyle w:val="147"/>
        <w:numPr>
          <w:ilvl w:val="0"/>
          <w:numId w:val="25"/>
        </w:numPr>
        <w:suppressAutoHyphens/>
        <w:spacing w:after="0" w:line="360" w:lineRule="auto"/>
        <w:jc w:val="both"/>
      </w:pPr>
      <w:r>
        <w:t>строительство резервных емкостей для целей противопожарной безопасности (108 м</w:t>
      </w:r>
      <w:r>
        <w:rPr>
          <w:vertAlign w:val="superscript"/>
        </w:rPr>
        <w:t>3</w:t>
      </w:r>
      <w:r>
        <w:t>).</w:t>
      </w:r>
    </w:p>
    <w:p>
      <w:pPr>
        <w:pStyle w:val="147"/>
        <w:keepLines/>
        <w:suppressAutoHyphens/>
        <w:spacing w:after="0" w:line="360" w:lineRule="auto"/>
        <w:ind w:left="0" w:firstLine="851"/>
        <w:jc w:val="both"/>
        <w:rPr>
          <w:b/>
        </w:rPr>
      </w:pPr>
      <w:r>
        <w:rPr>
          <w:b/>
        </w:rPr>
        <w:t>На расчетный срок:</w:t>
      </w:r>
    </w:p>
    <w:p>
      <w:pPr>
        <w:pStyle w:val="147"/>
        <w:numPr>
          <w:ilvl w:val="0"/>
          <w:numId w:val="25"/>
        </w:numPr>
        <w:suppressAutoHyphens/>
        <w:spacing w:after="0" w:line="360" w:lineRule="auto"/>
        <w:jc w:val="both"/>
      </w:pPr>
      <w:r>
        <w:t xml:space="preserve">реконструкция и модернизация сетей и объектов водоснабжения; </w:t>
      </w:r>
    </w:p>
    <w:p>
      <w:pPr>
        <w:pStyle w:val="147"/>
        <w:numPr>
          <w:ilvl w:val="0"/>
          <w:numId w:val="25"/>
        </w:numPr>
        <w:suppressAutoHyphens/>
        <w:spacing w:after="0" w:line="360" w:lineRule="auto"/>
        <w:jc w:val="both"/>
      </w:pPr>
      <w:r>
        <w:t xml:space="preserve">прокладка уличного водопровода на новых территориях жилой и общественно-деловой застройки. </w:t>
      </w:r>
    </w:p>
    <w:p>
      <w:pPr>
        <w:pStyle w:val="4"/>
        <w:numPr>
          <w:ilvl w:val="2"/>
          <w:numId w:val="33"/>
        </w:numPr>
        <w:spacing w:before="360" w:after="120" w:line="360" w:lineRule="auto"/>
        <w:ind w:left="0" w:firstLine="0"/>
        <w:jc w:val="center"/>
        <w:rPr>
          <w:rFonts w:ascii="Times New Roman" w:hAnsi="Times New Roman"/>
          <w:color w:val="auto"/>
          <w:sz w:val="28"/>
          <w:szCs w:val="28"/>
        </w:rPr>
      </w:pPr>
      <w:bookmarkStart w:id="137" w:name="_Toc57203217"/>
      <w:r>
        <w:rPr>
          <w:rFonts w:ascii="Times New Roman" w:hAnsi="Times New Roman"/>
          <w:color w:val="auto"/>
          <w:sz w:val="28"/>
          <w:szCs w:val="28"/>
        </w:rPr>
        <w:t>Водоотведение</w:t>
      </w:r>
      <w:bookmarkEnd w:id="137"/>
    </w:p>
    <w:p>
      <w:pPr>
        <w:pStyle w:val="147"/>
        <w:keepLines/>
        <w:suppressAutoHyphens/>
        <w:spacing w:after="0" w:line="360" w:lineRule="auto"/>
        <w:ind w:left="0" w:firstLine="851"/>
        <w:jc w:val="both"/>
      </w:pPr>
      <w:r>
        <w:t>В настоящее время на территории с. Ейское Укрепление в границах проектируемого генерального плана существующих сетей канализации нет.</w:t>
      </w:r>
    </w:p>
    <w:p>
      <w:pPr>
        <w:pStyle w:val="147"/>
        <w:keepLines/>
        <w:suppressAutoHyphens/>
        <w:spacing w:after="0" w:line="360" w:lineRule="auto"/>
        <w:ind w:left="0" w:firstLine="851"/>
        <w:jc w:val="both"/>
      </w:pPr>
    </w:p>
    <w:p>
      <w:pPr>
        <w:spacing w:line="240" w:lineRule="auto"/>
        <w:jc w:val="center"/>
        <w:rPr>
          <w:b/>
          <w:bCs/>
        </w:rPr>
      </w:pPr>
      <w:r>
        <w:rPr>
          <w:b/>
          <w:bCs/>
        </w:rPr>
        <w:t>Расчет объемов водоотведения</w:t>
      </w:r>
    </w:p>
    <w:p>
      <w:pPr>
        <w:pStyle w:val="147"/>
        <w:keepLines/>
        <w:suppressAutoHyphens/>
        <w:spacing w:after="0" w:line="360" w:lineRule="auto"/>
        <w:ind w:left="0" w:firstLine="851"/>
        <w:jc w:val="both"/>
      </w:pPr>
      <w:r>
        <w:t xml:space="preserve">Генеральным планом предусматривается децентрализованная система канализации муниципального образования. </w:t>
      </w:r>
    </w:p>
    <w:p>
      <w:pPr>
        <w:pStyle w:val="147"/>
        <w:keepLines/>
        <w:suppressAutoHyphens/>
        <w:spacing w:after="0" w:line="360" w:lineRule="auto"/>
        <w:ind w:left="0" w:firstLine="851"/>
        <w:jc w:val="both"/>
      </w:pPr>
      <w:r>
        <w:t xml:space="preserve">При проектировании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без учета расхода воды на полив территорий и зеленых насаждений. </w:t>
      </w:r>
    </w:p>
    <w:p>
      <w:pPr>
        <w:pStyle w:val="147"/>
        <w:keepLines/>
        <w:suppressAutoHyphens/>
        <w:spacing w:after="0" w:line="360" w:lineRule="auto"/>
        <w:ind w:left="0" w:firstLine="851"/>
        <w:jc w:val="both"/>
      </w:pPr>
    </w:p>
    <w:p>
      <w:pPr>
        <w:spacing w:line="240" w:lineRule="auto"/>
        <w:jc w:val="center"/>
        <w:rPr>
          <w:b/>
          <w:bCs/>
        </w:rPr>
      </w:pPr>
      <w:r>
        <w:rPr>
          <w:b/>
          <w:bCs/>
        </w:rPr>
        <w:t>Расчет среднесуточного водоотведения на I очередь и расчетный срок</w:t>
      </w:r>
    </w:p>
    <w:p>
      <w:pPr>
        <w:pStyle w:val="147"/>
        <w:numPr>
          <w:ilvl w:val="0"/>
          <w:numId w:val="23"/>
        </w:numPr>
        <w:ind w:right="142"/>
        <w:jc w:val="right"/>
        <w:rPr>
          <w:b/>
          <w:bCs/>
        </w:rPr>
      </w:pPr>
      <w:r>
        <w:rPr>
          <w:b/>
          <w:bCs/>
        </w:rPr>
        <w:t>Таблица 1</w:t>
      </w:r>
      <w:r>
        <w:rPr>
          <w:rFonts w:hint="default"/>
          <w:b/>
          <w:bCs/>
          <w:lang w:val="ru-RU"/>
        </w:rPr>
        <w:t>6</w:t>
      </w:r>
    </w:p>
    <w:tbl>
      <w:tblPr>
        <w:tblStyle w:val="12"/>
        <w:tblW w:w="5000" w:type="pct"/>
        <w:tblInd w:w="0" w:type="dxa"/>
        <w:tblLayout w:type="autofit"/>
        <w:tblCellMar>
          <w:top w:w="0" w:type="dxa"/>
          <w:left w:w="108" w:type="dxa"/>
          <w:bottom w:w="0" w:type="dxa"/>
          <w:right w:w="108" w:type="dxa"/>
        </w:tblCellMar>
      </w:tblPr>
      <w:tblGrid>
        <w:gridCol w:w="2668"/>
        <w:gridCol w:w="1350"/>
        <w:gridCol w:w="1584"/>
        <w:gridCol w:w="1121"/>
        <w:gridCol w:w="1141"/>
        <w:gridCol w:w="1068"/>
        <w:gridCol w:w="1064"/>
      </w:tblGrid>
      <w:tr>
        <w:tblPrEx>
          <w:tblCellMar>
            <w:top w:w="0" w:type="dxa"/>
            <w:left w:w="108" w:type="dxa"/>
            <w:bottom w:w="0" w:type="dxa"/>
            <w:right w:w="108" w:type="dxa"/>
          </w:tblCellMar>
        </w:tblPrEx>
        <w:trPr>
          <w:trHeight w:val="1020" w:hRule="atLeast"/>
        </w:trPr>
        <w:tc>
          <w:tcPr>
            <w:tcW w:w="13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Наименование потребителей</w:t>
            </w:r>
          </w:p>
        </w:tc>
        <w:tc>
          <w:tcPr>
            <w:tcW w:w="1491"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Число жителей, чел.</w:t>
            </w:r>
          </w:p>
        </w:tc>
        <w:tc>
          <w:tcPr>
            <w:tcW w:w="1154"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Норма водоотведения, л/сут.чел.</w:t>
            </w:r>
          </w:p>
        </w:tc>
        <w:tc>
          <w:tcPr>
            <w:tcW w:w="1009"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Суточный расход, м</w:t>
            </w:r>
            <w:r>
              <w:rPr>
                <w:rFonts w:eastAsia="Times New Roman"/>
                <w:b/>
                <w:color w:val="000000"/>
                <w:kern w:val="0"/>
                <w:vertAlign w:val="superscript"/>
                <w:lang w:eastAsia="ru-RU"/>
              </w:rPr>
              <w:t>3</w:t>
            </w:r>
            <w:r>
              <w:rPr>
                <w:rFonts w:eastAsia="Times New Roman"/>
                <w:b/>
                <w:color w:val="000000"/>
                <w:kern w:val="0"/>
                <w:lang w:eastAsia="ru-RU"/>
              </w:rPr>
              <w:t>/сут.</w:t>
            </w:r>
          </w:p>
        </w:tc>
      </w:tr>
      <w:tr>
        <w:tblPrEx>
          <w:tblCellMar>
            <w:top w:w="0" w:type="dxa"/>
            <w:left w:w="108" w:type="dxa"/>
            <w:bottom w:w="0" w:type="dxa"/>
            <w:right w:w="108" w:type="dxa"/>
          </w:tblCellMar>
        </w:tblPrEx>
        <w:trPr>
          <w:trHeight w:val="510" w:hRule="atLeast"/>
        </w:trPr>
        <w:tc>
          <w:tcPr>
            <w:tcW w:w="1346" w:type="pct"/>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color w:val="000000"/>
                <w:kern w:val="0"/>
                <w:lang w:eastAsia="ru-RU"/>
              </w:rPr>
            </w:pPr>
          </w:p>
        </w:tc>
        <w:tc>
          <w:tcPr>
            <w:tcW w:w="68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80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c>
          <w:tcPr>
            <w:tcW w:w="5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5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c>
          <w:tcPr>
            <w:tcW w:w="46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54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r>
      <w:tr>
        <w:tblPrEx>
          <w:tblCellMar>
            <w:top w:w="0" w:type="dxa"/>
            <w:left w:w="108" w:type="dxa"/>
            <w:bottom w:w="0" w:type="dxa"/>
            <w:right w:w="108" w:type="dxa"/>
          </w:tblCellMar>
        </w:tblPrEx>
        <w:trPr>
          <w:trHeight w:val="270" w:hRule="atLeast"/>
        </w:trPr>
        <w:tc>
          <w:tcPr>
            <w:tcW w:w="134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b/>
                <w:bCs/>
                <w:iCs/>
                <w:color w:val="000000"/>
                <w:kern w:val="0"/>
                <w:lang w:eastAsia="ru-RU"/>
              </w:rPr>
            </w:pPr>
            <w:r>
              <w:rPr>
                <w:rFonts w:eastAsia="Times New Roman"/>
                <w:b/>
                <w:bCs/>
                <w:iCs/>
                <w:color w:val="000000"/>
                <w:kern w:val="0"/>
                <w:lang w:eastAsia="ru-RU"/>
              </w:rPr>
              <w:t>Население</w:t>
            </w:r>
          </w:p>
        </w:tc>
        <w:tc>
          <w:tcPr>
            <w:tcW w:w="68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2265</w:t>
            </w:r>
          </w:p>
        </w:tc>
        <w:tc>
          <w:tcPr>
            <w:tcW w:w="80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2477</w:t>
            </w:r>
          </w:p>
        </w:tc>
        <w:tc>
          <w:tcPr>
            <w:tcW w:w="5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160,0</w:t>
            </w:r>
          </w:p>
        </w:tc>
        <w:tc>
          <w:tcPr>
            <w:tcW w:w="5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160,0</w:t>
            </w:r>
          </w:p>
        </w:tc>
        <w:tc>
          <w:tcPr>
            <w:tcW w:w="46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362</w:t>
            </w:r>
          </w:p>
        </w:tc>
        <w:tc>
          <w:tcPr>
            <w:tcW w:w="54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396</w:t>
            </w:r>
          </w:p>
        </w:tc>
      </w:tr>
      <w:tr>
        <w:tblPrEx>
          <w:tblCellMar>
            <w:top w:w="0" w:type="dxa"/>
            <w:left w:w="108" w:type="dxa"/>
            <w:bottom w:w="0" w:type="dxa"/>
            <w:right w:w="108" w:type="dxa"/>
          </w:tblCellMar>
        </w:tblPrEx>
        <w:trPr>
          <w:trHeight w:val="1095" w:hRule="atLeast"/>
        </w:trPr>
        <w:tc>
          <w:tcPr>
            <w:tcW w:w="1346" w:type="pct"/>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eastAsia="Times New Roman"/>
                <w:b/>
                <w:bCs/>
                <w:color w:val="000000"/>
                <w:kern w:val="0"/>
                <w:lang w:eastAsia="ru-RU"/>
              </w:rPr>
            </w:pPr>
            <w:r>
              <w:rPr>
                <w:rFonts w:eastAsia="Times New Roman"/>
                <w:b/>
                <w:bCs/>
                <w:color w:val="000000"/>
                <w:kern w:val="0"/>
                <w:lang w:eastAsia="ru-RU"/>
              </w:rPr>
              <w:t>Неучтенные расходы, включая нужды промышленности (15% от среднесуточного объёма водоотведения населения )</w:t>
            </w:r>
          </w:p>
        </w:tc>
        <w:tc>
          <w:tcPr>
            <w:tcW w:w="68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80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46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54</w:t>
            </w:r>
          </w:p>
        </w:tc>
        <w:tc>
          <w:tcPr>
            <w:tcW w:w="54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59</w:t>
            </w:r>
          </w:p>
        </w:tc>
      </w:tr>
      <w:tr>
        <w:tblPrEx>
          <w:tblCellMar>
            <w:top w:w="0" w:type="dxa"/>
            <w:left w:w="108" w:type="dxa"/>
            <w:bottom w:w="0" w:type="dxa"/>
            <w:right w:w="108" w:type="dxa"/>
          </w:tblCellMar>
        </w:tblPrEx>
        <w:trPr>
          <w:trHeight w:val="270" w:hRule="atLeast"/>
        </w:trPr>
        <w:tc>
          <w:tcPr>
            <w:tcW w:w="1346"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Итого</w:t>
            </w:r>
          </w:p>
        </w:tc>
        <w:tc>
          <w:tcPr>
            <w:tcW w:w="68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2265</w:t>
            </w:r>
          </w:p>
        </w:tc>
        <w:tc>
          <w:tcPr>
            <w:tcW w:w="804"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2477</w:t>
            </w:r>
          </w:p>
        </w:tc>
        <w:tc>
          <w:tcPr>
            <w:tcW w:w="5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184,0</w:t>
            </w:r>
          </w:p>
        </w:tc>
        <w:tc>
          <w:tcPr>
            <w:tcW w:w="5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iCs/>
                <w:color w:val="000000"/>
                <w:kern w:val="0"/>
                <w:lang w:eastAsia="ru-RU"/>
              </w:rPr>
            </w:pPr>
            <w:r>
              <w:rPr>
                <w:rFonts w:eastAsia="Times New Roman"/>
                <w:b/>
                <w:bCs/>
                <w:iCs/>
                <w:color w:val="000000"/>
                <w:kern w:val="0"/>
                <w:lang w:eastAsia="ru-RU"/>
              </w:rPr>
              <w:t>184,0</w:t>
            </w:r>
          </w:p>
        </w:tc>
        <w:tc>
          <w:tcPr>
            <w:tcW w:w="466"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417</w:t>
            </w:r>
          </w:p>
        </w:tc>
        <w:tc>
          <w:tcPr>
            <w:tcW w:w="54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bCs/>
                <w:color w:val="000000"/>
                <w:kern w:val="0"/>
                <w:lang w:eastAsia="ru-RU"/>
              </w:rPr>
            </w:pPr>
            <w:r>
              <w:rPr>
                <w:rFonts w:eastAsia="Times New Roman"/>
                <w:b/>
                <w:bCs/>
                <w:color w:val="000000"/>
                <w:kern w:val="0"/>
                <w:lang w:eastAsia="ru-RU"/>
              </w:rPr>
              <w:t>456</w:t>
            </w:r>
          </w:p>
        </w:tc>
      </w:tr>
    </w:tbl>
    <w:p>
      <w:pPr>
        <w:suppressAutoHyphens/>
        <w:spacing w:after="0" w:line="360" w:lineRule="auto"/>
        <w:jc w:val="both"/>
      </w:pPr>
    </w:p>
    <w:p>
      <w:pPr>
        <w:pStyle w:val="147"/>
        <w:keepLines/>
        <w:suppressAutoHyphens/>
        <w:spacing w:after="0" w:line="360" w:lineRule="auto"/>
        <w:ind w:left="0" w:firstLine="851"/>
        <w:jc w:val="both"/>
      </w:pPr>
      <w:r>
        <w:t>Таким образом, прогнозируемый суточный объем сточных вод на расчетный срок составит 456 м</w:t>
      </w:r>
      <w:r>
        <w:rPr>
          <w:vertAlign w:val="superscript"/>
        </w:rPr>
        <w:t>3</w:t>
      </w:r>
      <w:r>
        <w:t>/сутки (I очередь 417 м</w:t>
      </w:r>
      <w:r>
        <w:rPr>
          <w:vertAlign w:val="superscript"/>
        </w:rPr>
        <w:t>3</w:t>
      </w:r>
      <w:r>
        <w:t>/сутки).</w:t>
      </w:r>
    </w:p>
    <w:p>
      <w:pPr>
        <w:pStyle w:val="147"/>
        <w:keepLines/>
        <w:suppressAutoHyphens/>
        <w:spacing w:after="0" w:line="360" w:lineRule="auto"/>
        <w:ind w:left="0" w:firstLine="851"/>
        <w:jc w:val="both"/>
      </w:pPr>
    </w:p>
    <w:p>
      <w:pPr>
        <w:spacing w:line="240" w:lineRule="auto"/>
        <w:jc w:val="center"/>
        <w:rPr>
          <w:b/>
          <w:bCs/>
        </w:rPr>
      </w:pPr>
      <w:r>
        <w:rPr>
          <w:b/>
          <w:bCs/>
        </w:rPr>
        <w:t>Максимальный суточный объем водоотведения на I очередь и расчетный срок</w:t>
      </w:r>
    </w:p>
    <w:p>
      <w:pPr>
        <w:pStyle w:val="147"/>
        <w:numPr>
          <w:ilvl w:val="0"/>
          <w:numId w:val="23"/>
        </w:numPr>
        <w:ind w:right="142"/>
        <w:jc w:val="right"/>
        <w:rPr>
          <w:b/>
          <w:bCs/>
        </w:rPr>
      </w:pPr>
      <w:r>
        <w:rPr>
          <w:b/>
          <w:bCs/>
        </w:rPr>
        <w:t>Таблица 1</w:t>
      </w:r>
      <w:r>
        <w:rPr>
          <w:rFonts w:hint="default"/>
          <w:b/>
          <w:bCs/>
          <w:lang w:val="ru-RU"/>
        </w:rPr>
        <w:t>7</w:t>
      </w:r>
    </w:p>
    <w:tbl>
      <w:tblPr>
        <w:tblStyle w:val="12"/>
        <w:tblW w:w="5000" w:type="pct"/>
        <w:tblInd w:w="0" w:type="dxa"/>
        <w:tblLayout w:type="autofit"/>
        <w:tblCellMar>
          <w:top w:w="0" w:type="dxa"/>
          <w:left w:w="108" w:type="dxa"/>
          <w:bottom w:w="0" w:type="dxa"/>
          <w:right w:w="108" w:type="dxa"/>
        </w:tblCellMar>
      </w:tblPr>
      <w:tblGrid>
        <w:gridCol w:w="904"/>
        <w:gridCol w:w="3593"/>
        <w:gridCol w:w="1833"/>
        <w:gridCol w:w="2143"/>
        <w:gridCol w:w="1523"/>
      </w:tblGrid>
      <w:tr>
        <w:tblPrEx>
          <w:tblCellMar>
            <w:top w:w="0" w:type="dxa"/>
            <w:left w:w="108" w:type="dxa"/>
            <w:bottom w:w="0" w:type="dxa"/>
            <w:right w:w="108" w:type="dxa"/>
          </w:tblCellMar>
        </w:tblPrEx>
        <w:trPr>
          <w:trHeight w:val="510" w:hRule="atLeast"/>
        </w:trPr>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 п/п</w:t>
            </w:r>
          </w:p>
        </w:tc>
        <w:tc>
          <w:tcPr>
            <w:tcW w:w="1797"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Наименование показателя</w:t>
            </w:r>
          </w:p>
        </w:tc>
        <w:tc>
          <w:tcPr>
            <w:tcW w:w="917"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Единица измерения</w:t>
            </w:r>
          </w:p>
        </w:tc>
        <w:tc>
          <w:tcPr>
            <w:tcW w:w="1072"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I очередь</w:t>
            </w:r>
          </w:p>
        </w:tc>
        <w:tc>
          <w:tcPr>
            <w:tcW w:w="762"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b/>
                <w:kern w:val="0"/>
                <w:lang w:eastAsia="ru-RU"/>
              </w:rPr>
            </w:pPr>
            <w:r>
              <w:rPr>
                <w:rFonts w:eastAsia="Times New Roman"/>
                <w:b/>
                <w:kern w:val="0"/>
                <w:lang w:eastAsia="ru-RU"/>
              </w:rPr>
              <w:t>Расчётный срок</w:t>
            </w:r>
          </w:p>
        </w:tc>
      </w:tr>
      <w:tr>
        <w:tblPrEx>
          <w:tblCellMar>
            <w:top w:w="0" w:type="dxa"/>
            <w:left w:w="108" w:type="dxa"/>
            <w:bottom w:w="0" w:type="dxa"/>
            <w:right w:w="108" w:type="dxa"/>
          </w:tblCellMar>
        </w:tblPrEx>
        <w:trPr>
          <w:trHeight w:val="315"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Среднесуточный расход</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/сут</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417</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456</w:t>
            </w:r>
          </w:p>
        </w:tc>
      </w:tr>
      <w:tr>
        <w:tblPrEx>
          <w:tblCellMar>
            <w:top w:w="0" w:type="dxa"/>
            <w:left w:w="108" w:type="dxa"/>
            <w:bottom w:w="0" w:type="dxa"/>
            <w:right w:w="108" w:type="dxa"/>
          </w:tblCellMar>
        </w:tblPrEx>
        <w:trPr>
          <w:trHeight w:val="315"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Среднечасовой расход</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/час</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17</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19</w:t>
            </w:r>
          </w:p>
        </w:tc>
      </w:tr>
      <w:tr>
        <w:tblPrEx>
          <w:tblCellMar>
            <w:top w:w="0" w:type="dxa"/>
            <w:left w:w="108" w:type="dxa"/>
            <w:bottom w:w="0" w:type="dxa"/>
            <w:right w:w="108" w:type="dxa"/>
          </w:tblCellMar>
        </w:tblPrEx>
        <w:trPr>
          <w:trHeight w:val="510"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3</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Коэффициент неравномерности</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2,8</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2,8</w:t>
            </w:r>
          </w:p>
        </w:tc>
      </w:tr>
      <w:tr>
        <w:tblPrEx>
          <w:tblCellMar>
            <w:top w:w="0" w:type="dxa"/>
            <w:left w:w="108" w:type="dxa"/>
            <w:bottom w:w="0" w:type="dxa"/>
            <w:right w:w="108" w:type="dxa"/>
          </w:tblCellMar>
        </w:tblPrEx>
        <w:trPr>
          <w:trHeight w:val="510"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Максимальный часовой расход</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/час</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49</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53</w:t>
            </w:r>
          </w:p>
        </w:tc>
      </w:tr>
      <w:tr>
        <w:tblPrEx>
          <w:tblCellMar>
            <w:top w:w="0" w:type="dxa"/>
            <w:left w:w="108" w:type="dxa"/>
            <w:bottom w:w="0" w:type="dxa"/>
            <w:right w:w="108" w:type="dxa"/>
          </w:tblCellMar>
        </w:tblPrEx>
        <w:trPr>
          <w:trHeight w:val="510"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5</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Максимальный секундный расход</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л/сек</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14</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15</w:t>
            </w:r>
          </w:p>
        </w:tc>
      </w:tr>
      <w:tr>
        <w:tblPrEx>
          <w:tblCellMar>
            <w:top w:w="0" w:type="dxa"/>
            <w:left w:w="108" w:type="dxa"/>
            <w:bottom w:w="0" w:type="dxa"/>
            <w:right w:w="108" w:type="dxa"/>
          </w:tblCellMar>
        </w:tblPrEx>
        <w:trPr>
          <w:trHeight w:val="630" w:hRule="atLeast"/>
        </w:trPr>
        <w:tc>
          <w:tcPr>
            <w:tcW w:w="452"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6</w:t>
            </w:r>
          </w:p>
        </w:tc>
        <w:tc>
          <w:tcPr>
            <w:tcW w:w="1797" w:type="pct"/>
            <w:tcBorders>
              <w:top w:val="nil"/>
              <w:left w:val="nil"/>
              <w:bottom w:val="single" w:color="auto" w:sz="4" w:space="0"/>
              <w:right w:val="single" w:color="auto" w:sz="4" w:space="0"/>
            </w:tcBorders>
            <w:shd w:val="clear" w:color="auto" w:fill="auto"/>
            <w:vAlign w:val="center"/>
          </w:tcPr>
          <w:p>
            <w:pPr>
              <w:spacing w:after="0" w:line="240" w:lineRule="auto"/>
              <w:rPr>
                <w:rFonts w:eastAsia="Times New Roman"/>
                <w:kern w:val="0"/>
                <w:lang w:eastAsia="ru-RU"/>
              </w:rPr>
            </w:pPr>
            <w:r>
              <w:rPr>
                <w:rFonts w:eastAsia="Times New Roman"/>
                <w:kern w:val="0"/>
                <w:lang w:eastAsia="ru-RU"/>
              </w:rPr>
              <w:t>Максимальный суточный расход</w:t>
            </w:r>
          </w:p>
        </w:tc>
        <w:tc>
          <w:tcPr>
            <w:tcW w:w="917"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м</w:t>
            </w:r>
            <w:r>
              <w:rPr>
                <w:rFonts w:eastAsia="Times New Roman"/>
                <w:kern w:val="0"/>
                <w:vertAlign w:val="superscript"/>
                <w:lang w:eastAsia="ru-RU"/>
              </w:rPr>
              <w:t>3</w:t>
            </w:r>
            <w:r>
              <w:rPr>
                <w:rFonts w:eastAsia="Times New Roman"/>
                <w:kern w:val="0"/>
                <w:lang w:eastAsia="ru-RU"/>
              </w:rPr>
              <w:t>/сут</w:t>
            </w:r>
          </w:p>
        </w:tc>
        <w:tc>
          <w:tcPr>
            <w:tcW w:w="107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1168</w:t>
            </w:r>
          </w:p>
        </w:tc>
        <w:tc>
          <w:tcPr>
            <w:tcW w:w="76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kern w:val="0"/>
                <w:lang w:eastAsia="ru-RU"/>
              </w:rPr>
            </w:pPr>
            <w:r>
              <w:rPr>
                <w:rFonts w:eastAsia="Times New Roman"/>
                <w:kern w:val="0"/>
                <w:lang w:eastAsia="ru-RU"/>
              </w:rPr>
              <w:t>1274</w:t>
            </w:r>
          </w:p>
        </w:tc>
      </w:tr>
    </w:tbl>
    <w:p>
      <w:pPr>
        <w:suppressAutoHyphens/>
        <w:spacing w:after="0" w:line="360" w:lineRule="auto"/>
        <w:ind w:firstLine="851"/>
        <w:jc w:val="both"/>
      </w:pPr>
    </w:p>
    <w:p>
      <w:pPr>
        <w:keepNext/>
        <w:keepLines/>
        <w:suppressAutoHyphens/>
        <w:spacing w:after="0" w:line="360" w:lineRule="auto"/>
        <w:ind w:firstLine="851"/>
        <w:jc w:val="center"/>
        <w:rPr>
          <w:b/>
          <w:caps/>
        </w:rPr>
      </w:pPr>
      <w:r>
        <w:rPr>
          <w:b/>
        </w:rPr>
        <w:t>Проектные предложения</w:t>
      </w:r>
    </w:p>
    <w:p>
      <w:pPr>
        <w:pStyle w:val="147"/>
        <w:keepLines/>
        <w:suppressAutoHyphens/>
        <w:spacing w:after="0" w:line="360" w:lineRule="auto"/>
        <w:ind w:left="0" w:firstLine="851"/>
        <w:jc w:val="both"/>
      </w:pPr>
      <w:r>
        <w:t>Генеральным планом предлагается предусмотреть направленные на развитие системы водоотведения:</w:t>
      </w:r>
    </w:p>
    <w:p>
      <w:pPr>
        <w:pStyle w:val="147"/>
        <w:keepLines/>
        <w:suppressAutoHyphens/>
        <w:spacing w:after="0" w:line="360" w:lineRule="auto"/>
        <w:ind w:left="0" w:firstLine="851"/>
        <w:jc w:val="both"/>
        <w:rPr>
          <w:b/>
        </w:rPr>
      </w:pPr>
      <w:r>
        <w:rPr>
          <w:b/>
        </w:rPr>
        <w:t>на 1 очередь строительства:</w:t>
      </w:r>
    </w:p>
    <w:p>
      <w:pPr>
        <w:pStyle w:val="147"/>
        <w:numPr>
          <w:ilvl w:val="0"/>
          <w:numId w:val="25"/>
        </w:numPr>
        <w:suppressAutoHyphens/>
        <w:spacing w:after="0" w:line="360" w:lineRule="auto"/>
        <w:jc w:val="both"/>
      </w:pPr>
      <w:r>
        <w:t>оборудование локальными очистными сооружениями производственных и сельскохозяйственных объектов;</w:t>
      </w:r>
    </w:p>
    <w:p>
      <w:pPr>
        <w:pStyle w:val="147"/>
        <w:numPr>
          <w:ilvl w:val="0"/>
          <w:numId w:val="25"/>
        </w:numPr>
        <w:suppressAutoHyphens/>
        <w:spacing w:after="0" w:line="360" w:lineRule="auto"/>
        <w:jc w:val="both"/>
      </w:pPr>
      <w:r>
        <w:t>оборудование выгребными ямами жилого сектора и учреждений соцкультбыта.</w:t>
      </w:r>
    </w:p>
    <w:p>
      <w:pPr>
        <w:pStyle w:val="147"/>
        <w:keepLines/>
        <w:suppressAutoHyphens/>
        <w:spacing w:after="0" w:line="360" w:lineRule="auto"/>
        <w:ind w:left="0" w:firstLine="851"/>
        <w:jc w:val="both"/>
        <w:rPr>
          <w:b/>
        </w:rPr>
      </w:pPr>
      <w:r>
        <w:rPr>
          <w:b/>
        </w:rPr>
        <w:t>на расчетный срок:</w:t>
      </w:r>
    </w:p>
    <w:p>
      <w:pPr>
        <w:pStyle w:val="147"/>
        <w:numPr>
          <w:ilvl w:val="0"/>
          <w:numId w:val="25"/>
        </w:numPr>
        <w:suppressAutoHyphens/>
        <w:spacing w:after="0" w:line="360" w:lineRule="auto"/>
        <w:jc w:val="both"/>
      </w:pPr>
      <w:r>
        <w:t>строительство на территории муниципального образования очистных сооружений и оборудование центральных улиц населенного пункта сельского поселения хозяйственно-бытовой канализацией.</w:t>
      </w:r>
    </w:p>
    <w:p>
      <w:pPr>
        <w:pStyle w:val="4"/>
        <w:numPr>
          <w:ilvl w:val="2"/>
          <w:numId w:val="33"/>
        </w:numPr>
        <w:spacing w:before="360" w:after="120" w:line="360" w:lineRule="auto"/>
        <w:ind w:left="0" w:firstLine="0"/>
        <w:jc w:val="center"/>
        <w:rPr>
          <w:rFonts w:ascii="Times New Roman" w:hAnsi="Times New Roman"/>
          <w:color w:val="auto"/>
          <w:sz w:val="28"/>
          <w:szCs w:val="28"/>
        </w:rPr>
      </w:pPr>
      <w:bookmarkStart w:id="138" w:name="_Toc57203218"/>
      <w:r>
        <w:rPr>
          <w:rFonts w:ascii="Times New Roman" w:hAnsi="Times New Roman"/>
          <w:color w:val="auto"/>
          <w:sz w:val="28"/>
          <w:szCs w:val="28"/>
        </w:rPr>
        <w:t>Теплоснабжение</w:t>
      </w:r>
      <w:bookmarkEnd w:id="138"/>
    </w:p>
    <w:p>
      <w:pPr>
        <w:pStyle w:val="147"/>
        <w:keepLines/>
        <w:suppressAutoHyphens/>
        <w:spacing w:after="0" w:line="360" w:lineRule="auto"/>
        <w:ind w:left="0" w:firstLine="851"/>
        <w:jc w:val="both"/>
      </w:pPr>
      <w:r>
        <w:t>Теплоснабжение cела Ейское Укрепление в границах проектируемого генерального плана в настоящее время осуществляется от двух котельных. Существующие котельные отапливают детский сад и школу.</w:t>
      </w:r>
    </w:p>
    <w:p>
      <w:pPr>
        <w:pStyle w:val="147"/>
        <w:keepLines/>
        <w:suppressAutoHyphens/>
        <w:spacing w:after="0" w:line="360" w:lineRule="auto"/>
        <w:ind w:left="0" w:firstLine="851"/>
        <w:jc w:val="both"/>
      </w:pPr>
      <w:r>
        <w:t>Существующая индивидуальная одно- и двухэтажная застройка обеспечивается теплом от индивидуальных газовых котлов (АОГВ).</w:t>
      </w:r>
    </w:p>
    <w:p>
      <w:pPr>
        <w:pStyle w:val="147"/>
        <w:keepLines/>
        <w:suppressAutoHyphens/>
        <w:spacing w:after="0" w:line="360" w:lineRule="auto"/>
        <w:ind w:left="0" w:firstLine="851"/>
        <w:jc w:val="both"/>
      </w:pPr>
    </w:p>
    <w:p>
      <w:pPr>
        <w:spacing w:line="240" w:lineRule="auto"/>
        <w:jc w:val="center"/>
        <w:rPr>
          <w:b/>
          <w:bCs/>
        </w:rPr>
      </w:pPr>
      <w:r>
        <w:rPr>
          <w:b/>
          <w:bCs/>
        </w:rPr>
        <w:t>Характеристики существующих котельных</w:t>
      </w:r>
    </w:p>
    <w:p>
      <w:pPr>
        <w:pStyle w:val="147"/>
        <w:numPr>
          <w:ilvl w:val="0"/>
          <w:numId w:val="23"/>
        </w:numPr>
        <w:ind w:right="142"/>
        <w:jc w:val="right"/>
        <w:rPr>
          <w:b/>
          <w:bCs/>
        </w:rPr>
      </w:pPr>
      <w:r>
        <w:rPr>
          <w:b/>
          <w:bCs/>
        </w:rPr>
        <w:t xml:space="preserve">Таблица </w:t>
      </w:r>
      <w:r>
        <w:rPr>
          <w:rFonts w:hint="default"/>
          <w:b/>
          <w:bCs/>
          <w:lang w:val="ru-RU"/>
        </w:rPr>
        <w:t>18</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0"/>
        <w:gridCol w:w="1977"/>
        <w:gridCol w:w="2343"/>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971"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b/>
                <w:bCs/>
              </w:rPr>
              <w:t>Наименование</w:t>
            </w:r>
          </w:p>
        </w:tc>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b/>
                <w:bCs/>
              </w:rPr>
              <w:t>Мощность Гкал/ч</w:t>
            </w:r>
          </w:p>
        </w:tc>
        <w:tc>
          <w:tcPr>
            <w:tcW w:w="117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b/>
                <w:bCs/>
              </w:rPr>
              <w:t>Присоединенная мощность Гкал/ч</w:t>
            </w:r>
          </w:p>
        </w:tc>
        <w:tc>
          <w:tcPr>
            <w:tcW w:w="86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b/>
                <w:bCs/>
              </w:rPr>
              <w:t>Вид топлива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971" w:type="pct"/>
            <w:tcBorders>
              <w:top w:val="single" w:color="auto" w:sz="4" w:space="0"/>
              <w:left w:val="single" w:color="auto" w:sz="4" w:space="0"/>
              <w:bottom w:val="single" w:color="auto" w:sz="4" w:space="0"/>
              <w:right w:val="single" w:color="auto" w:sz="4" w:space="0"/>
            </w:tcBorders>
            <w:shd w:val="clear" w:color="auto" w:fill="auto"/>
          </w:tcPr>
          <w:p>
            <w:pPr>
              <w:rPr>
                <w:bCs/>
              </w:rPr>
            </w:pPr>
            <w:r>
              <w:rPr>
                <w:bCs/>
              </w:rPr>
              <w:t>Котельная № 1 (ДОУ №4)</w:t>
            </w:r>
          </w:p>
          <w:p>
            <w:pPr>
              <w:rPr>
                <w:bCs/>
              </w:rPr>
            </w:pPr>
          </w:p>
        </w:tc>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3,600</w:t>
            </w:r>
          </w:p>
        </w:tc>
        <w:tc>
          <w:tcPr>
            <w:tcW w:w="117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3,600</w:t>
            </w:r>
          </w:p>
        </w:tc>
        <w:tc>
          <w:tcPr>
            <w:tcW w:w="86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газ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trPr>
        <w:tc>
          <w:tcPr>
            <w:tcW w:w="1971" w:type="pct"/>
            <w:tcBorders>
              <w:top w:val="single" w:color="auto" w:sz="4" w:space="0"/>
              <w:left w:val="single" w:color="auto" w:sz="4" w:space="0"/>
              <w:bottom w:val="single" w:color="auto" w:sz="4" w:space="0"/>
              <w:right w:val="single" w:color="auto" w:sz="4" w:space="0"/>
            </w:tcBorders>
            <w:shd w:val="clear" w:color="auto" w:fill="auto"/>
          </w:tcPr>
          <w:p>
            <w:pPr>
              <w:rPr>
                <w:bCs/>
              </w:rPr>
            </w:pPr>
            <w:r>
              <w:rPr>
                <w:bCs/>
              </w:rPr>
              <w:t>Котельная № 2 (СОШ №7)</w:t>
            </w:r>
          </w:p>
          <w:p>
            <w:pPr>
              <w:rPr>
                <w:bCs/>
              </w:rPr>
            </w:pPr>
          </w:p>
        </w:tc>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2,100</w:t>
            </w:r>
          </w:p>
        </w:tc>
        <w:tc>
          <w:tcPr>
            <w:tcW w:w="1172"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2,100</w:t>
            </w:r>
          </w:p>
        </w:tc>
        <w:tc>
          <w:tcPr>
            <w:tcW w:w="86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rPr>
            </w:pPr>
            <w:r>
              <w:rPr>
                <w:bCs/>
              </w:rPr>
              <w:t>газ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trPr>
        <w:tc>
          <w:tcPr>
            <w:tcW w:w="1971" w:type="pct"/>
            <w:tcBorders>
              <w:top w:val="single" w:color="auto" w:sz="4" w:space="0"/>
              <w:left w:val="single" w:color="auto" w:sz="4" w:space="0"/>
              <w:bottom w:val="single" w:color="auto" w:sz="4" w:space="0"/>
              <w:right w:val="single" w:color="auto" w:sz="4" w:space="0"/>
            </w:tcBorders>
            <w:shd w:val="clear" w:color="auto" w:fill="auto"/>
          </w:tcPr>
          <w:p>
            <w:pPr>
              <w:rPr>
                <w:bCs/>
              </w:rPr>
            </w:pPr>
            <w:r>
              <w:rPr>
                <w:bCs/>
              </w:rPr>
              <w:t>Итого:</w:t>
            </w:r>
          </w:p>
        </w:tc>
        <w:tc>
          <w:tcPr>
            <w:tcW w:w="989" w:type="pct"/>
            <w:tcBorders>
              <w:top w:val="single" w:color="auto" w:sz="4" w:space="0"/>
              <w:left w:val="single" w:color="auto" w:sz="4" w:space="0"/>
              <w:bottom w:val="single" w:color="auto" w:sz="4" w:space="0"/>
              <w:right w:val="single" w:color="auto" w:sz="4" w:space="0"/>
            </w:tcBorders>
            <w:shd w:val="clear" w:color="auto" w:fill="auto"/>
          </w:tcPr>
          <w:p>
            <w:pPr>
              <w:jc w:val="center"/>
              <w:rPr>
                <w:bCs/>
              </w:rPr>
            </w:pPr>
            <w:r>
              <w:rPr>
                <w:bCs/>
              </w:rPr>
              <w:t>5,700</w:t>
            </w:r>
          </w:p>
        </w:tc>
        <w:tc>
          <w:tcPr>
            <w:tcW w:w="1172" w:type="pct"/>
            <w:tcBorders>
              <w:top w:val="single" w:color="auto" w:sz="4" w:space="0"/>
              <w:left w:val="single" w:color="auto" w:sz="4" w:space="0"/>
              <w:bottom w:val="single" w:color="auto" w:sz="4" w:space="0"/>
              <w:right w:val="single" w:color="auto" w:sz="4" w:space="0"/>
            </w:tcBorders>
            <w:shd w:val="clear" w:color="auto" w:fill="auto"/>
          </w:tcPr>
          <w:p>
            <w:pPr>
              <w:jc w:val="center"/>
              <w:rPr>
                <w:bCs/>
              </w:rPr>
            </w:pPr>
            <w:r>
              <w:rPr>
                <w:bCs/>
              </w:rPr>
              <w:t>5,700</w:t>
            </w:r>
          </w:p>
        </w:tc>
        <w:tc>
          <w:tcPr>
            <w:tcW w:w="869" w:type="pct"/>
            <w:tcBorders>
              <w:top w:val="single" w:color="auto" w:sz="4" w:space="0"/>
              <w:left w:val="single" w:color="auto" w:sz="4" w:space="0"/>
              <w:bottom w:val="single" w:color="auto" w:sz="4" w:space="0"/>
              <w:right w:val="single" w:color="auto" w:sz="4" w:space="0"/>
            </w:tcBorders>
            <w:shd w:val="clear" w:color="auto" w:fill="auto"/>
          </w:tcPr>
          <w:p>
            <w:pPr>
              <w:jc w:val="center"/>
              <w:rPr>
                <w:bCs/>
              </w:rPr>
            </w:pPr>
          </w:p>
        </w:tc>
      </w:tr>
    </w:tbl>
    <w:p>
      <w:pPr>
        <w:suppressAutoHyphens/>
        <w:spacing w:after="0" w:line="360" w:lineRule="auto"/>
        <w:jc w:val="both"/>
      </w:pPr>
      <w:bookmarkStart w:id="139" w:name="_Toc315701160"/>
      <w:bookmarkEnd w:id="139"/>
      <w:bookmarkStart w:id="140" w:name="_Toc315701155"/>
      <w:bookmarkEnd w:id="140"/>
      <w:bookmarkStart w:id="141" w:name="_Toc315701153"/>
      <w:bookmarkEnd w:id="141"/>
      <w:bookmarkStart w:id="142" w:name="_Toc315701157"/>
      <w:bookmarkEnd w:id="142"/>
      <w:bookmarkStart w:id="143" w:name="_Toc315701158"/>
      <w:bookmarkEnd w:id="143"/>
      <w:bookmarkStart w:id="144" w:name="_Toc315701154"/>
      <w:bookmarkEnd w:id="144"/>
      <w:bookmarkStart w:id="145" w:name="_Toc315701152"/>
      <w:bookmarkEnd w:id="145"/>
      <w:bookmarkStart w:id="146" w:name="_Toc315701156"/>
      <w:bookmarkEnd w:id="146"/>
      <w:bookmarkStart w:id="147" w:name="_Toc315701159"/>
      <w:bookmarkEnd w:id="147"/>
      <w:bookmarkStart w:id="148" w:name="_Toc353973241"/>
    </w:p>
    <w:p>
      <w:pPr>
        <w:keepNext/>
        <w:keepLines/>
        <w:suppressAutoHyphens/>
        <w:spacing w:after="0" w:line="360" w:lineRule="auto"/>
        <w:ind w:firstLine="851"/>
        <w:jc w:val="center"/>
        <w:rPr>
          <w:b/>
        </w:rPr>
      </w:pPr>
      <w:r>
        <w:rPr>
          <w:b/>
        </w:rPr>
        <w:t>Проектные предложения</w:t>
      </w:r>
    </w:p>
    <w:p>
      <w:pPr>
        <w:pStyle w:val="147"/>
        <w:keepLines/>
        <w:suppressAutoHyphens/>
        <w:spacing w:after="0" w:line="360" w:lineRule="auto"/>
        <w:ind w:left="0" w:firstLine="851"/>
        <w:jc w:val="both"/>
      </w:pPr>
      <w:r>
        <w:t>Генеральным планом предлагается предусмотреть направленные на развитие системы теплоснабжения:</w:t>
      </w:r>
    </w:p>
    <w:p>
      <w:pPr>
        <w:pStyle w:val="147"/>
        <w:keepLines/>
        <w:suppressAutoHyphens/>
        <w:spacing w:after="0" w:line="360" w:lineRule="auto"/>
        <w:ind w:left="0" w:firstLine="851"/>
        <w:jc w:val="both"/>
        <w:rPr>
          <w:b/>
        </w:rPr>
      </w:pPr>
      <w:r>
        <w:rPr>
          <w:b/>
        </w:rPr>
        <w:t>на 1 очередь строительства:</w:t>
      </w:r>
    </w:p>
    <w:p>
      <w:pPr>
        <w:pStyle w:val="147"/>
        <w:keepLines/>
        <w:suppressAutoHyphens/>
        <w:spacing w:after="0" w:line="360" w:lineRule="auto"/>
        <w:ind w:left="0" w:firstLine="851"/>
        <w:jc w:val="both"/>
      </w:pPr>
      <w:r>
        <w:t>Теплоснабжение объектов в границах проекта генерального плана села Ейское Укрепление на I очередь строительства предусматривается от двух существующих и девяти проектируемых районных котельных, автономных источников, систем поквартирного теплоснабжения, от автоматических газовых отопительных котлов для индивидуальной одно- и двухэтажной застройки.</w:t>
      </w:r>
    </w:p>
    <w:p>
      <w:pPr>
        <w:pStyle w:val="147"/>
        <w:keepLines/>
        <w:suppressAutoHyphens/>
        <w:spacing w:after="0" w:line="360" w:lineRule="auto"/>
        <w:ind w:left="0" w:firstLine="851"/>
        <w:jc w:val="both"/>
      </w:pPr>
      <w:r>
        <w:t>Котельные согласно проекту, будут обслуживать школы, детский сад и проектируемые объекты общественного, коммунально-бытового и торгово-развлекательного назначения I очереди строительства.</w:t>
      </w:r>
    </w:p>
    <w:p>
      <w:pPr>
        <w:pStyle w:val="147"/>
        <w:keepLines/>
        <w:suppressAutoHyphens/>
        <w:spacing w:after="0" w:line="360" w:lineRule="auto"/>
        <w:ind w:left="0" w:firstLine="851"/>
        <w:jc w:val="both"/>
      </w:pPr>
      <w:r>
        <w:t>Теплопроизводительность котельных выбрана с учетом расходов тепла на отопление, вентиляцию и горячее водоснабжение. Теплоноситель для отопления и вентиляции - вода с параметрами 95-70</w:t>
      </w:r>
      <w:r>
        <w:rPr/>
        <w:sym w:font="Symbol" w:char="00B0"/>
      </w:r>
      <w:r>
        <w:t>С, для горячего водоснабжения - 65</w:t>
      </w:r>
      <w:r>
        <w:rPr/>
        <w:sym w:font="Symbol" w:char="00B0"/>
      </w:r>
      <w:r>
        <w:t>С.</w:t>
      </w:r>
    </w:p>
    <w:p>
      <w:pPr>
        <w:pStyle w:val="147"/>
        <w:keepLines/>
        <w:suppressAutoHyphens/>
        <w:spacing w:after="0" w:line="360" w:lineRule="auto"/>
        <w:ind w:left="0" w:firstLine="851"/>
        <w:jc w:val="both"/>
      </w:pPr>
      <w:r>
        <w:t>Режим потребления тепловой энергии принят:</w:t>
      </w:r>
    </w:p>
    <w:p>
      <w:pPr>
        <w:pStyle w:val="147"/>
        <w:numPr>
          <w:ilvl w:val="0"/>
          <w:numId w:val="25"/>
        </w:numPr>
        <w:suppressAutoHyphens/>
        <w:spacing w:after="0" w:line="360" w:lineRule="auto"/>
        <w:jc w:val="both"/>
      </w:pPr>
      <w:r>
        <w:t>Отопление – 24 часа в сутки.</w:t>
      </w:r>
    </w:p>
    <w:p>
      <w:pPr>
        <w:pStyle w:val="147"/>
        <w:numPr>
          <w:ilvl w:val="0"/>
          <w:numId w:val="25"/>
        </w:numPr>
        <w:suppressAutoHyphens/>
        <w:spacing w:after="0" w:line="360" w:lineRule="auto"/>
        <w:jc w:val="both"/>
      </w:pPr>
      <w:r>
        <w:t>Вентиляция и горячее водоснабжение – 16 часов.</w:t>
      </w:r>
    </w:p>
    <w:p>
      <w:pPr>
        <w:pStyle w:val="147"/>
        <w:keepLines/>
        <w:suppressAutoHyphens/>
        <w:spacing w:after="0" w:line="360" w:lineRule="auto"/>
        <w:ind w:left="0" w:firstLine="851"/>
        <w:jc w:val="both"/>
      </w:pPr>
      <w:r>
        <w:t>Все котельные будут работать на газе. Системы теплоснабжения закрытые, двух и четырехтрубные.</w:t>
      </w:r>
    </w:p>
    <w:p>
      <w:pPr>
        <w:pStyle w:val="147"/>
        <w:keepLines/>
        <w:suppressAutoHyphens/>
        <w:spacing w:after="0" w:line="360" w:lineRule="auto"/>
        <w:ind w:left="0" w:firstLine="851"/>
        <w:jc w:val="both"/>
      </w:pPr>
      <w:r>
        <w:t>Для проектирования отопления, вентиляции и горячего водоснабжения приняты следующие данные по ТСН 23-319-2000 Краснодарского края (СНКК 23-302-2000) Энергетическая эффективность жилых и общественных зданий. Нормативы по теплозащите зданий:</w:t>
      </w:r>
    </w:p>
    <w:p>
      <w:pPr>
        <w:pStyle w:val="147"/>
        <w:numPr>
          <w:ilvl w:val="0"/>
          <w:numId w:val="25"/>
        </w:numPr>
        <w:suppressAutoHyphens/>
        <w:spacing w:after="0" w:line="360" w:lineRule="auto"/>
        <w:jc w:val="both"/>
      </w:pPr>
      <w:r>
        <w:t>Расчетная температура наружного воздуха в холодный период – минус 22</w:t>
      </w:r>
      <w:r>
        <w:rPr/>
        <w:sym w:font="Symbol" w:char="00B0"/>
      </w:r>
      <w:r>
        <w:t>С.</w:t>
      </w:r>
    </w:p>
    <w:p>
      <w:pPr>
        <w:pStyle w:val="147"/>
        <w:numPr>
          <w:ilvl w:val="0"/>
          <w:numId w:val="25"/>
        </w:numPr>
        <w:suppressAutoHyphens/>
        <w:spacing w:after="0" w:line="360" w:lineRule="auto"/>
        <w:jc w:val="both"/>
      </w:pPr>
      <w:r>
        <w:t>Средняя температура отопительного периода – минус 0,2</w:t>
      </w:r>
      <w:r>
        <w:rPr/>
        <w:sym w:font="Symbol" w:char="00B0"/>
      </w:r>
      <w:r>
        <w:t>С.</w:t>
      </w:r>
    </w:p>
    <w:p>
      <w:pPr>
        <w:pStyle w:val="147"/>
        <w:numPr>
          <w:ilvl w:val="0"/>
          <w:numId w:val="25"/>
        </w:numPr>
        <w:suppressAutoHyphens/>
        <w:spacing w:after="0" w:line="360" w:lineRule="auto"/>
        <w:jc w:val="both"/>
      </w:pPr>
      <w:r>
        <w:t>Продолжительность отопительного периода – 167 дней.</w:t>
      </w:r>
    </w:p>
    <w:p>
      <w:pPr>
        <w:pStyle w:val="147"/>
        <w:numPr>
          <w:ilvl w:val="0"/>
          <w:numId w:val="25"/>
        </w:numPr>
        <w:suppressAutoHyphens/>
        <w:spacing w:after="0" w:line="360" w:lineRule="auto"/>
        <w:jc w:val="both"/>
      </w:pPr>
    </w:p>
    <w:p>
      <w:pPr>
        <w:spacing w:line="240" w:lineRule="auto"/>
        <w:jc w:val="center"/>
        <w:rPr>
          <w:b/>
          <w:bCs/>
        </w:rPr>
      </w:pPr>
      <w:r>
        <w:rPr>
          <w:b/>
          <w:bCs/>
        </w:rPr>
        <w:t>Расчет тепловых нагрузок 1 очереди</w:t>
      </w:r>
    </w:p>
    <w:p>
      <w:pPr>
        <w:pStyle w:val="147"/>
        <w:numPr>
          <w:ilvl w:val="0"/>
          <w:numId w:val="23"/>
        </w:numPr>
        <w:ind w:right="142"/>
        <w:jc w:val="right"/>
        <w:rPr>
          <w:b/>
          <w:bCs/>
        </w:rPr>
      </w:pPr>
      <w:r>
        <w:rPr>
          <w:b/>
          <w:bCs/>
        </w:rPr>
        <w:t xml:space="preserve">Таблица </w:t>
      </w:r>
      <w:r>
        <w:rPr>
          <w:rFonts w:hint="default"/>
          <w:b/>
          <w:bCs/>
          <w:lang w:val="ru-RU"/>
        </w:rPr>
        <w:t>19</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1472"/>
        <w:gridCol w:w="1464"/>
        <w:gridCol w:w="1622"/>
        <w:gridCol w:w="1523"/>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tblHeader/>
        </w:trPr>
        <w:tc>
          <w:tcPr>
            <w:tcW w:w="1232" w:type="pct"/>
            <w:vMerge w:val="restart"/>
            <w:vAlign w:val="center"/>
          </w:tcPr>
          <w:p>
            <w:pPr>
              <w:ind w:right="141"/>
              <w:jc w:val="center"/>
              <w:rPr>
                <w:b/>
              </w:rPr>
            </w:pPr>
            <w:r>
              <w:rPr>
                <w:b/>
              </w:rPr>
              <w:t>Наименование</w:t>
            </w:r>
          </w:p>
        </w:tc>
        <w:tc>
          <w:tcPr>
            <w:tcW w:w="2971" w:type="pct"/>
            <w:gridSpan w:val="4"/>
            <w:vAlign w:val="center"/>
          </w:tcPr>
          <w:p>
            <w:pPr>
              <w:ind w:right="141"/>
              <w:jc w:val="center"/>
              <w:rPr>
                <w:b/>
              </w:rPr>
            </w:pPr>
            <w:r>
              <w:rPr>
                <w:b/>
              </w:rPr>
              <w:t>Расчетный срок</w:t>
            </w:r>
          </w:p>
        </w:tc>
        <w:tc>
          <w:tcPr>
            <w:tcW w:w="797" w:type="pct"/>
            <w:vMerge w:val="restart"/>
            <w:vAlign w:val="center"/>
          </w:tcPr>
          <w:p>
            <w:pPr>
              <w:ind w:right="141"/>
              <w:jc w:val="center"/>
              <w:rPr>
                <w:b/>
              </w:rPr>
            </w:pPr>
            <w:r>
              <w:rPr>
                <w:b/>
              </w:rPr>
              <w:t>Всего с учетом потерь в т/сети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blHeader/>
        </w:trPr>
        <w:tc>
          <w:tcPr>
            <w:tcW w:w="1232" w:type="pct"/>
            <w:vMerge w:val="continue"/>
            <w:vAlign w:val="center"/>
          </w:tcPr>
          <w:p>
            <w:pPr>
              <w:ind w:right="141" w:firstLine="709"/>
              <w:jc w:val="center"/>
              <w:rPr>
                <w:b/>
              </w:rPr>
            </w:pPr>
          </w:p>
        </w:tc>
        <w:tc>
          <w:tcPr>
            <w:tcW w:w="2971" w:type="pct"/>
            <w:gridSpan w:val="4"/>
            <w:vAlign w:val="center"/>
          </w:tcPr>
          <w:p>
            <w:pPr>
              <w:ind w:right="141"/>
              <w:jc w:val="center"/>
              <w:rPr>
                <w:b/>
              </w:rPr>
            </w:pPr>
            <w:r>
              <w:rPr>
                <w:b/>
              </w:rPr>
              <w:t>Расход тепла, Гкал/ч</w:t>
            </w:r>
          </w:p>
        </w:tc>
        <w:tc>
          <w:tcPr>
            <w:tcW w:w="797" w:type="pct"/>
            <w:vMerge w:val="continue"/>
          </w:tcPr>
          <w:p>
            <w:pPr>
              <w:ind w:right="141" w:firstLine="70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tblHeader/>
        </w:trPr>
        <w:tc>
          <w:tcPr>
            <w:tcW w:w="1232" w:type="pct"/>
            <w:vMerge w:val="continue"/>
            <w:vAlign w:val="center"/>
          </w:tcPr>
          <w:p>
            <w:pPr>
              <w:ind w:right="141" w:firstLine="709"/>
              <w:jc w:val="center"/>
              <w:rPr>
                <w:b/>
              </w:rPr>
            </w:pPr>
          </w:p>
        </w:tc>
        <w:tc>
          <w:tcPr>
            <w:tcW w:w="725" w:type="pct"/>
            <w:vAlign w:val="center"/>
          </w:tcPr>
          <w:p>
            <w:pPr>
              <w:ind w:right="141"/>
              <w:jc w:val="center"/>
              <w:rPr>
                <w:b/>
              </w:rPr>
            </w:pPr>
            <w:r>
              <w:rPr>
                <w:b/>
              </w:rPr>
              <w:t>на отопление</w:t>
            </w:r>
          </w:p>
        </w:tc>
        <w:tc>
          <w:tcPr>
            <w:tcW w:w="724" w:type="pct"/>
            <w:vAlign w:val="center"/>
          </w:tcPr>
          <w:p>
            <w:pPr>
              <w:ind w:left="-108"/>
              <w:jc w:val="center"/>
              <w:rPr>
                <w:b/>
              </w:rPr>
            </w:pPr>
            <w:r>
              <w:rPr>
                <w:b/>
              </w:rPr>
              <w:t>на вентиляцию</w:t>
            </w:r>
          </w:p>
        </w:tc>
        <w:tc>
          <w:tcPr>
            <w:tcW w:w="725" w:type="pct"/>
            <w:vAlign w:val="center"/>
          </w:tcPr>
          <w:p>
            <w:pPr>
              <w:ind w:left="-108" w:right="-108" w:firstLine="108"/>
              <w:jc w:val="center"/>
              <w:rPr>
                <w:b/>
              </w:rPr>
            </w:pPr>
            <w:r>
              <w:rPr>
                <w:b/>
              </w:rPr>
              <w:t>на горячее водоснабжение</w:t>
            </w:r>
          </w:p>
        </w:tc>
        <w:tc>
          <w:tcPr>
            <w:tcW w:w="797" w:type="pct"/>
            <w:vAlign w:val="center"/>
          </w:tcPr>
          <w:p>
            <w:pPr>
              <w:ind w:right="141"/>
              <w:jc w:val="center"/>
              <w:rPr>
                <w:b/>
              </w:rPr>
            </w:pPr>
            <w:r>
              <w:rPr>
                <w:b/>
              </w:rPr>
              <w:t>Итого</w:t>
            </w:r>
          </w:p>
        </w:tc>
        <w:tc>
          <w:tcPr>
            <w:tcW w:w="797" w:type="pct"/>
            <w:vMerge w:val="continue"/>
          </w:tcPr>
          <w:p>
            <w:pPr>
              <w:ind w:right="141" w:firstLine="70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trPr>
        <w:tc>
          <w:tcPr>
            <w:tcW w:w="1232" w:type="pct"/>
            <w:vAlign w:val="center"/>
          </w:tcPr>
          <w:p>
            <w:pPr>
              <w:ind w:right="-74"/>
              <w:rPr>
                <w:lang w:val="en-US"/>
              </w:rPr>
            </w:pPr>
            <w:r>
              <w:t xml:space="preserve">Котельная №1 </w:t>
            </w:r>
            <w:r>
              <w:rPr>
                <w:lang w:val="en-US"/>
              </w:rPr>
              <w:t>(</w:t>
            </w:r>
            <w:r>
              <w:t>существующая)</w:t>
            </w:r>
          </w:p>
        </w:tc>
        <w:tc>
          <w:tcPr>
            <w:tcW w:w="725" w:type="pct"/>
            <w:vAlign w:val="center"/>
          </w:tcPr>
          <w:p>
            <w:pPr>
              <w:jc w:val="center"/>
            </w:pPr>
            <w:r>
              <w:t>3,364</w:t>
            </w:r>
          </w:p>
        </w:tc>
        <w:tc>
          <w:tcPr>
            <w:tcW w:w="724" w:type="pct"/>
            <w:vAlign w:val="center"/>
          </w:tcPr>
          <w:p>
            <w:pPr>
              <w:jc w:val="center"/>
            </w:pPr>
            <w:r>
              <w:t>-</w:t>
            </w:r>
          </w:p>
        </w:tc>
        <w:tc>
          <w:tcPr>
            <w:tcW w:w="725" w:type="pct"/>
            <w:vAlign w:val="center"/>
          </w:tcPr>
          <w:p>
            <w:pPr>
              <w:jc w:val="center"/>
            </w:pPr>
            <w:r>
              <w:t>-</w:t>
            </w:r>
          </w:p>
        </w:tc>
        <w:tc>
          <w:tcPr>
            <w:tcW w:w="797" w:type="pct"/>
            <w:vAlign w:val="center"/>
          </w:tcPr>
          <w:p>
            <w:pPr>
              <w:jc w:val="center"/>
            </w:pPr>
            <w:r>
              <w:t>3,364</w:t>
            </w:r>
          </w:p>
        </w:tc>
        <w:tc>
          <w:tcPr>
            <w:tcW w:w="797" w:type="pct"/>
            <w:vAlign w:val="center"/>
          </w:tcPr>
          <w:p>
            <w:pPr>
              <w:jc w:val="center"/>
              <w:rPr>
                <w:bCs/>
              </w:rPr>
            </w:pPr>
            <w:r>
              <w:rPr>
                <w:bCs/>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1232" w:type="pct"/>
            <w:vAlign w:val="center"/>
          </w:tcPr>
          <w:p>
            <w:pPr>
              <w:ind w:right="-74"/>
            </w:pPr>
            <w:r>
              <w:t>Котельная №2 (существующая</w:t>
            </w:r>
            <w:r>
              <w:rPr>
                <w:lang w:val="en-US"/>
              </w:rPr>
              <w:t>)</w:t>
            </w:r>
          </w:p>
        </w:tc>
        <w:tc>
          <w:tcPr>
            <w:tcW w:w="725" w:type="pct"/>
            <w:vAlign w:val="center"/>
          </w:tcPr>
          <w:p>
            <w:pPr>
              <w:jc w:val="center"/>
            </w:pPr>
            <w:r>
              <w:t>1,963</w:t>
            </w:r>
          </w:p>
        </w:tc>
        <w:tc>
          <w:tcPr>
            <w:tcW w:w="724" w:type="pct"/>
            <w:vAlign w:val="center"/>
          </w:tcPr>
          <w:p>
            <w:pPr>
              <w:jc w:val="center"/>
            </w:pPr>
            <w:r>
              <w:t>-</w:t>
            </w:r>
          </w:p>
        </w:tc>
        <w:tc>
          <w:tcPr>
            <w:tcW w:w="725" w:type="pct"/>
            <w:vAlign w:val="center"/>
          </w:tcPr>
          <w:p>
            <w:pPr>
              <w:jc w:val="center"/>
            </w:pPr>
            <w:r>
              <w:t>-</w:t>
            </w:r>
          </w:p>
        </w:tc>
        <w:tc>
          <w:tcPr>
            <w:tcW w:w="797" w:type="pct"/>
            <w:vAlign w:val="center"/>
          </w:tcPr>
          <w:p>
            <w:pPr>
              <w:jc w:val="center"/>
            </w:pPr>
            <w:r>
              <w:t>1,963</w:t>
            </w:r>
          </w:p>
        </w:tc>
        <w:tc>
          <w:tcPr>
            <w:tcW w:w="797" w:type="pct"/>
            <w:vAlign w:val="center"/>
          </w:tcPr>
          <w:p>
            <w:pPr>
              <w:jc w:val="center"/>
              <w:rPr>
                <w:bCs/>
              </w:rPr>
            </w:pPr>
            <w:r>
              <w:rPr>
                <w:bCs/>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№1 (проектируемая</w:t>
            </w:r>
            <w:r>
              <w:rPr>
                <w:lang w:val="en-US"/>
              </w:rPr>
              <w:t>)</w:t>
            </w:r>
          </w:p>
        </w:tc>
        <w:tc>
          <w:tcPr>
            <w:tcW w:w="725" w:type="pct"/>
            <w:vAlign w:val="center"/>
          </w:tcPr>
          <w:p>
            <w:pPr>
              <w:jc w:val="center"/>
              <w:rPr>
                <w:lang w:val="en-US"/>
              </w:rPr>
            </w:pPr>
            <w:r>
              <w:t>0,4</w:t>
            </w:r>
            <w:r>
              <w:rPr>
                <w:lang w:val="en-US"/>
              </w:rPr>
              <w:t>00</w:t>
            </w:r>
          </w:p>
        </w:tc>
        <w:tc>
          <w:tcPr>
            <w:tcW w:w="724" w:type="pct"/>
            <w:vAlign w:val="center"/>
          </w:tcPr>
          <w:p>
            <w:pPr>
              <w:jc w:val="center"/>
              <w:rPr>
                <w:lang w:val="en-US"/>
              </w:rPr>
            </w:pPr>
            <w:r>
              <w:t>0,200</w:t>
            </w:r>
          </w:p>
        </w:tc>
        <w:tc>
          <w:tcPr>
            <w:tcW w:w="725" w:type="pct"/>
            <w:vAlign w:val="center"/>
          </w:tcPr>
          <w:p>
            <w:pPr>
              <w:jc w:val="center"/>
              <w:rPr>
                <w:lang w:val="en-US"/>
              </w:rPr>
            </w:pPr>
            <w:r>
              <w:t>0,180</w:t>
            </w:r>
          </w:p>
        </w:tc>
        <w:tc>
          <w:tcPr>
            <w:tcW w:w="797" w:type="pct"/>
            <w:vAlign w:val="center"/>
          </w:tcPr>
          <w:p>
            <w:pPr>
              <w:jc w:val="center"/>
            </w:pPr>
            <w:r>
              <w:t>0,780</w:t>
            </w:r>
          </w:p>
        </w:tc>
        <w:tc>
          <w:tcPr>
            <w:tcW w:w="797" w:type="pct"/>
            <w:vAlign w:val="center"/>
          </w:tcPr>
          <w:p>
            <w:pPr>
              <w:jc w:val="center"/>
            </w:pPr>
            <w:r>
              <w:t>0,835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№2 (проектируемая)</w:t>
            </w:r>
          </w:p>
        </w:tc>
        <w:tc>
          <w:tcPr>
            <w:tcW w:w="725" w:type="pct"/>
            <w:vAlign w:val="center"/>
          </w:tcPr>
          <w:p>
            <w:pPr>
              <w:jc w:val="center"/>
              <w:rPr>
                <w:lang w:val="en-US"/>
              </w:rPr>
            </w:pPr>
            <w:r>
              <w:t>0,9</w:t>
            </w:r>
            <w:r>
              <w:rPr>
                <w:lang w:val="en-US"/>
              </w:rPr>
              <w:t>50</w:t>
            </w:r>
          </w:p>
        </w:tc>
        <w:tc>
          <w:tcPr>
            <w:tcW w:w="724" w:type="pct"/>
            <w:vAlign w:val="center"/>
          </w:tcPr>
          <w:p>
            <w:pPr>
              <w:jc w:val="center"/>
            </w:pPr>
            <w:r>
              <w:t>0,350</w:t>
            </w:r>
          </w:p>
        </w:tc>
        <w:tc>
          <w:tcPr>
            <w:tcW w:w="725" w:type="pct"/>
            <w:vAlign w:val="center"/>
          </w:tcPr>
          <w:p>
            <w:pPr>
              <w:jc w:val="center"/>
            </w:pPr>
            <w:r>
              <w:t>0,341</w:t>
            </w:r>
          </w:p>
        </w:tc>
        <w:tc>
          <w:tcPr>
            <w:tcW w:w="797" w:type="pct"/>
            <w:vAlign w:val="center"/>
          </w:tcPr>
          <w:p>
            <w:pPr>
              <w:jc w:val="center"/>
            </w:pPr>
            <w:r>
              <w:t>1,641</w:t>
            </w:r>
          </w:p>
        </w:tc>
        <w:tc>
          <w:tcPr>
            <w:tcW w:w="797" w:type="pct"/>
            <w:vAlign w:val="center"/>
          </w:tcPr>
          <w:p>
            <w:pPr>
              <w:jc w:val="center"/>
            </w:pPr>
            <w:r>
              <w:t>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№3 (проектируемая)</w:t>
            </w:r>
          </w:p>
        </w:tc>
        <w:tc>
          <w:tcPr>
            <w:tcW w:w="725" w:type="pct"/>
            <w:vAlign w:val="center"/>
          </w:tcPr>
          <w:p>
            <w:pPr>
              <w:jc w:val="center"/>
            </w:pPr>
            <w:r>
              <w:t>1,870</w:t>
            </w:r>
          </w:p>
        </w:tc>
        <w:tc>
          <w:tcPr>
            <w:tcW w:w="724" w:type="pct"/>
            <w:vAlign w:val="center"/>
          </w:tcPr>
          <w:p>
            <w:pPr>
              <w:jc w:val="center"/>
            </w:pPr>
            <w:r>
              <w:t>0,850</w:t>
            </w:r>
          </w:p>
        </w:tc>
        <w:tc>
          <w:tcPr>
            <w:tcW w:w="725" w:type="pct"/>
            <w:vAlign w:val="center"/>
          </w:tcPr>
          <w:p>
            <w:pPr>
              <w:jc w:val="center"/>
            </w:pPr>
            <w:r>
              <w:t>1,562</w:t>
            </w:r>
          </w:p>
        </w:tc>
        <w:tc>
          <w:tcPr>
            <w:tcW w:w="797" w:type="pct"/>
            <w:vAlign w:val="center"/>
          </w:tcPr>
          <w:p>
            <w:pPr>
              <w:jc w:val="center"/>
            </w:pPr>
            <w:r>
              <w:t>4,282</w:t>
            </w:r>
          </w:p>
        </w:tc>
        <w:tc>
          <w:tcPr>
            <w:tcW w:w="797" w:type="pct"/>
            <w:vAlign w:val="center"/>
          </w:tcPr>
          <w:p>
            <w:pPr>
              <w:jc w:val="center"/>
            </w:pPr>
            <w:r>
              <w:t>4,582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№4 (проектируемая)</w:t>
            </w:r>
          </w:p>
        </w:tc>
        <w:tc>
          <w:tcPr>
            <w:tcW w:w="725" w:type="pct"/>
            <w:vAlign w:val="center"/>
          </w:tcPr>
          <w:p>
            <w:pPr>
              <w:jc w:val="center"/>
            </w:pPr>
            <w:r>
              <w:t>1,070</w:t>
            </w:r>
          </w:p>
        </w:tc>
        <w:tc>
          <w:tcPr>
            <w:tcW w:w="724" w:type="pct"/>
            <w:vAlign w:val="center"/>
          </w:tcPr>
          <w:p>
            <w:pPr>
              <w:jc w:val="center"/>
            </w:pPr>
            <w:r>
              <w:t>0,470</w:t>
            </w:r>
          </w:p>
        </w:tc>
        <w:tc>
          <w:tcPr>
            <w:tcW w:w="725" w:type="pct"/>
            <w:vAlign w:val="center"/>
          </w:tcPr>
          <w:p>
            <w:pPr>
              <w:jc w:val="center"/>
            </w:pPr>
            <w:r>
              <w:t>1,481</w:t>
            </w:r>
          </w:p>
        </w:tc>
        <w:tc>
          <w:tcPr>
            <w:tcW w:w="797" w:type="pct"/>
            <w:vAlign w:val="center"/>
          </w:tcPr>
          <w:p>
            <w:pPr>
              <w:jc w:val="center"/>
            </w:pPr>
            <w:r>
              <w:t>3,021</w:t>
            </w:r>
          </w:p>
        </w:tc>
        <w:tc>
          <w:tcPr>
            <w:tcW w:w="797" w:type="pct"/>
            <w:vAlign w:val="center"/>
          </w:tcPr>
          <w:p>
            <w:pPr>
              <w:jc w:val="center"/>
            </w:pPr>
            <w:r>
              <w:t>3,232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№5 (проектируемая)</w:t>
            </w:r>
          </w:p>
        </w:tc>
        <w:tc>
          <w:tcPr>
            <w:tcW w:w="725" w:type="pct"/>
            <w:vAlign w:val="center"/>
          </w:tcPr>
          <w:p>
            <w:pPr>
              <w:jc w:val="center"/>
            </w:pPr>
            <w:r>
              <w:t>0,750</w:t>
            </w:r>
          </w:p>
        </w:tc>
        <w:tc>
          <w:tcPr>
            <w:tcW w:w="724" w:type="pct"/>
            <w:vAlign w:val="center"/>
          </w:tcPr>
          <w:p>
            <w:pPr>
              <w:jc w:val="center"/>
              <w:rPr>
                <w:lang w:val="en-US"/>
              </w:rPr>
            </w:pPr>
            <w:r>
              <w:rPr>
                <w:lang w:val="en-US"/>
              </w:rPr>
              <w:t>0.</w:t>
            </w:r>
            <w:r>
              <w:t>4</w:t>
            </w:r>
            <w:r>
              <w:rPr>
                <w:lang w:val="en-US"/>
              </w:rPr>
              <w:t>00</w:t>
            </w:r>
          </w:p>
        </w:tc>
        <w:tc>
          <w:tcPr>
            <w:tcW w:w="725" w:type="pct"/>
            <w:vAlign w:val="center"/>
          </w:tcPr>
          <w:p>
            <w:pPr>
              <w:jc w:val="center"/>
            </w:pPr>
            <w:r>
              <w:t>0,700</w:t>
            </w:r>
          </w:p>
        </w:tc>
        <w:tc>
          <w:tcPr>
            <w:tcW w:w="797" w:type="pct"/>
            <w:vAlign w:val="center"/>
          </w:tcPr>
          <w:p>
            <w:pPr>
              <w:jc w:val="center"/>
            </w:pPr>
            <w:r>
              <w:t>1,850</w:t>
            </w:r>
          </w:p>
        </w:tc>
        <w:tc>
          <w:tcPr>
            <w:tcW w:w="797" w:type="pct"/>
            <w:vAlign w:val="center"/>
          </w:tcPr>
          <w:p>
            <w:pPr>
              <w:jc w:val="center"/>
            </w:pPr>
            <w:r>
              <w:t>1,980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№6 (проектируемая)</w:t>
            </w:r>
          </w:p>
        </w:tc>
        <w:tc>
          <w:tcPr>
            <w:tcW w:w="725" w:type="pct"/>
            <w:vAlign w:val="center"/>
          </w:tcPr>
          <w:p>
            <w:pPr>
              <w:jc w:val="center"/>
              <w:rPr>
                <w:lang w:val="en-US"/>
              </w:rPr>
            </w:pPr>
            <w:r>
              <w:rPr>
                <w:lang w:val="en-US"/>
              </w:rPr>
              <w:t>0.</w:t>
            </w:r>
            <w:r>
              <w:t>35</w:t>
            </w:r>
            <w:r>
              <w:rPr>
                <w:lang w:val="en-US"/>
              </w:rPr>
              <w:t>0</w:t>
            </w:r>
          </w:p>
        </w:tc>
        <w:tc>
          <w:tcPr>
            <w:tcW w:w="724" w:type="pct"/>
            <w:vAlign w:val="center"/>
          </w:tcPr>
          <w:p>
            <w:pPr>
              <w:jc w:val="center"/>
              <w:rPr>
                <w:lang w:val="en-US"/>
              </w:rPr>
            </w:pPr>
            <w:r>
              <w:rPr>
                <w:lang w:val="en-US"/>
              </w:rPr>
              <w:t>0.</w:t>
            </w:r>
            <w:r>
              <w:t>1</w:t>
            </w:r>
            <w:r>
              <w:rPr>
                <w:lang w:val="en-US"/>
              </w:rPr>
              <w:t>00</w:t>
            </w:r>
          </w:p>
        </w:tc>
        <w:tc>
          <w:tcPr>
            <w:tcW w:w="725" w:type="pct"/>
            <w:vAlign w:val="center"/>
          </w:tcPr>
          <w:p>
            <w:pPr>
              <w:jc w:val="center"/>
              <w:rPr>
                <w:lang w:val="en-US"/>
              </w:rPr>
            </w:pPr>
            <w:r>
              <w:rPr>
                <w:lang w:val="en-US"/>
              </w:rPr>
              <w:t>0.</w:t>
            </w:r>
            <w:r>
              <w:t>5</w:t>
            </w:r>
            <w:r>
              <w:rPr>
                <w:lang w:val="en-US"/>
              </w:rPr>
              <w:t>00</w:t>
            </w:r>
          </w:p>
        </w:tc>
        <w:tc>
          <w:tcPr>
            <w:tcW w:w="797" w:type="pct"/>
            <w:vAlign w:val="center"/>
          </w:tcPr>
          <w:p>
            <w:pPr>
              <w:jc w:val="center"/>
            </w:pPr>
            <w:r>
              <w:t>0,950</w:t>
            </w:r>
          </w:p>
        </w:tc>
        <w:tc>
          <w:tcPr>
            <w:tcW w:w="797" w:type="pct"/>
            <w:vAlign w:val="center"/>
          </w:tcPr>
          <w:p>
            <w:pPr>
              <w:jc w:val="center"/>
            </w:pPr>
            <w:r>
              <w:t>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№7 (проектируемая)</w:t>
            </w:r>
          </w:p>
        </w:tc>
        <w:tc>
          <w:tcPr>
            <w:tcW w:w="725" w:type="pct"/>
            <w:vAlign w:val="center"/>
          </w:tcPr>
          <w:p>
            <w:pPr>
              <w:jc w:val="center"/>
            </w:pPr>
            <w:r>
              <w:t>1,600</w:t>
            </w:r>
          </w:p>
        </w:tc>
        <w:tc>
          <w:tcPr>
            <w:tcW w:w="724" w:type="pct"/>
            <w:vAlign w:val="center"/>
          </w:tcPr>
          <w:p>
            <w:pPr>
              <w:jc w:val="center"/>
              <w:rPr>
                <w:lang w:val="en-US"/>
              </w:rPr>
            </w:pPr>
            <w:r>
              <w:rPr>
                <w:lang w:val="en-US"/>
              </w:rPr>
              <w:t>0.</w:t>
            </w:r>
            <w:r>
              <w:t>9</w:t>
            </w:r>
            <w:r>
              <w:rPr>
                <w:lang w:val="en-US"/>
              </w:rPr>
              <w:t>00</w:t>
            </w:r>
          </w:p>
        </w:tc>
        <w:tc>
          <w:tcPr>
            <w:tcW w:w="725" w:type="pct"/>
            <w:vAlign w:val="center"/>
          </w:tcPr>
          <w:p>
            <w:pPr>
              <w:jc w:val="center"/>
            </w:pPr>
            <w:r>
              <w:t>1,511</w:t>
            </w:r>
          </w:p>
        </w:tc>
        <w:tc>
          <w:tcPr>
            <w:tcW w:w="797" w:type="pct"/>
            <w:vAlign w:val="center"/>
          </w:tcPr>
          <w:p>
            <w:pPr>
              <w:jc w:val="center"/>
            </w:pPr>
            <w:r>
              <w:t>4,011</w:t>
            </w:r>
          </w:p>
        </w:tc>
        <w:tc>
          <w:tcPr>
            <w:tcW w:w="797" w:type="pct"/>
            <w:vAlign w:val="center"/>
          </w:tcPr>
          <w:p>
            <w:pPr>
              <w:jc w:val="center"/>
            </w:pPr>
            <w:r>
              <w:t>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№8 (проектируемая)</w:t>
            </w:r>
          </w:p>
        </w:tc>
        <w:tc>
          <w:tcPr>
            <w:tcW w:w="725" w:type="pct"/>
            <w:vAlign w:val="center"/>
          </w:tcPr>
          <w:p>
            <w:pPr>
              <w:jc w:val="center"/>
              <w:rPr>
                <w:lang w:val="en-US"/>
              </w:rPr>
            </w:pPr>
            <w:r>
              <w:rPr>
                <w:lang w:val="en-US"/>
              </w:rPr>
              <w:t>0.</w:t>
            </w:r>
            <w:r>
              <w:t>35</w:t>
            </w:r>
            <w:r>
              <w:rPr>
                <w:lang w:val="en-US"/>
              </w:rPr>
              <w:t>0</w:t>
            </w:r>
          </w:p>
        </w:tc>
        <w:tc>
          <w:tcPr>
            <w:tcW w:w="724" w:type="pct"/>
            <w:vAlign w:val="center"/>
          </w:tcPr>
          <w:p>
            <w:pPr>
              <w:jc w:val="center"/>
              <w:rPr>
                <w:lang w:val="en-US"/>
              </w:rPr>
            </w:pPr>
            <w:r>
              <w:rPr>
                <w:lang w:val="en-US"/>
              </w:rPr>
              <w:t>0.</w:t>
            </w:r>
            <w:r>
              <w:t>1</w:t>
            </w:r>
            <w:r>
              <w:rPr>
                <w:lang w:val="en-US"/>
              </w:rPr>
              <w:t>00</w:t>
            </w:r>
          </w:p>
        </w:tc>
        <w:tc>
          <w:tcPr>
            <w:tcW w:w="725" w:type="pct"/>
            <w:vAlign w:val="center"/>
          </w:tcPr>
          <w:p>
            <w:pPr>
              <w:jc w:val="center"/>
              <w:rPr>
                <w:lang w:val="en-US"/>
              </w:rPr>
            </w:pPr>
            <w:r>
              <w:rPr>
                <w:lang w:val="en-US"/>
              </w:rPr>
              <w:t>0.</w:t>
            </w:r>
            <w:r>
              <w:t>5</w:t>
            </w:r>
            <w:r>
              <w:rPr>
                <w:lang w:val="en-US"/>
              </w:rPr>
              <w:t>00</w:t>
            </w:r>
          </w:p>
        </w:tc>
        <w:tc>
          <w:tcPr>
            <w:tcW w:w="797" w:type="pct"/>
            <w:vAlign w:val="center"/>
          </w:tcPr>
          <w:p>
            <w:pPr>
              <w:jc w:val="center"/>
            </w:pPr>
            <w:r>
              <w:t>0,950</w:t>
            </w:r>
          </w:p>
        </w:tc>
        <w:tc>
          <w:tcPr>
            <w:tcW w:w="797" w:type="pct"/>
            <w:vAlign w:val="center"/>
          </w:tcPr>
          <w:p>
            <w:pPr>
              <w:jc w:val="center"/>
            </w:pPr>
            <w:r>
              <w:t>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lang w:val="en-US"/>
              </w:rPr>
            </w:pPr>
            <w:r>
              <w:t>Котельная №9 (проектируемая)</w:t>
            </w:r>
          </w:p>
        </w:tc>
        <w:tc>
          <w:tcPr>
            <w:tcW w:w="725" w:type="pct"/>
            <w:vAlign w:val="center"/>
          </w:tcPr>
          <w:p>
            <w:pPr>
              <w:jc w:val="center"/>
            </w:pPr>
            <w:r>
              <w:t>2,800</w:t>
            </w:r>
          </w:p>
        </w:tc>
        <w:tc>
          <w:tcPr>
            <w:tcW w:w="724" w:type="pct"/>
            <w:vAlign w:val="center"/>
          </w:tcPr>
          <w:p>
            <w:pPr>
              <w:jc w:val="center"/>
            </w:pPr>
            <w:r>
              <w:t>1,300</w:t>
            </w:r>
          </w:p>
        </w:tc>
        <w:tc>
          <w:tcPr>
            <w:tcW w:w="725" w:type="pct"/>
            <w:vAlign w:val="center"/>
          </w:tcPr>
          <w:p>
            <w:pPr>
              <w:jc w:val="center"/>
            </w:pPr>
            <w:r>
              <w:t>3,528</w:t>
            </w:r>
          </w:p>
        </w:tc>
        <w:tc>
          <w:tcPr>
            <w:tcW w:w="797" w:type="pct"/>
            <w:vAlign w:val="center"/>
          </w:tcPr>
          <w:p>
            <w:pPr>
              <w:jc w:val="center"/>
            </w:pPr>
            <w:r>
              <w:t>7,628</w:t>
            </w:r>
          </w:p>
        </w:tc>
        <w:tc>
          <w:tcPr>
            <w:tcW w:w="797" w:type="pct"/>
            <w:vAlign w:val="center"/>
          </w:tcPr>
          <w:p>
            <w:pPr>
              <w:jc w:val="center"/>
            </w:pPr>
            <w:r>
              <w:t>8,162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232" w:type="pct"/>
            <w:vAlign w:val="center"/>
          </w:tcPr>
          <w:p>
            <w:pPr>
              <w:ind w:right="-74"/>
              <w:rPr>
                <w:b/>
              </w:rPr>
            </w:pPr>
            <w:r>
              <w:rPr>
                <w:b/>
              </w:rPr>
              <w:t>ИТОГО</w:t>
            </w:r>
          </w:p>
        </w:tc>
        <w:tc>
          <w:tcPr>
            <w:tcW w:w="725" w:type="pct"/>
            <w:vAlign w:val="center"/>
          </w:tcPr>
          <w:p>
            <w:pPr>
              <w:jc w:val="center"/>
            </w:pPr>
          </w:p>
        </w:tc>
        <w:tc>
          <w:tcPr>
            <w:tcW w:w="724" w:type="pct"/>
            <w:vAlign w:val="center"/>
          </w:tcPr>
          <w:p>
            <w:pPr>
              <w:jc w:val="center"/>
            </w:pPr>
          </w:p>
        </w:tc>
        <w:tc>
          <w:tcPr>
            <w:tcW w:w="725" w:type="pct"/>
            <w:vAlign w:val="center"/>
          </w:tcPr>
          <w:p>
            <w:pPr>
              <w:jc w:val="center"/>
            </w:pPr>
          </w:p>
        </w:tc>
        <w:tc>
          <w:tcPr>
            <w:tcW w:w="797" w:type="pct"/>
            <w:vAlign w:val="center"/>
          </w:tcPr>
          <w:p>
            <w:pPr>
              <w:jc w:val="center"/>
            </w:pPr>
          </w:p>
        </w:tc>
        <w:tc>
          <w:tcPr>
            <w:tcW w:w="797" w:type="pct"/>
            <w:vAlign w:val="center"/>
          </w:tcPr>
          <w:p>
            <w:pPr>
              <w:jc w:val="center"/>
            </w:pPr>
            <w:r>
              <w:t>32,577</w:t>
            </w:r>
          </w:p>
        </w:tc>
      </w:tr>
    </w:tbl>
    <w:p>
      <w:pPr>
        <w:keepLines/>
        <w:suppressAutoHyphens/>
        <w:spacing w:after="0" w:line="360" w:lineRule="auto"/>
        <w:jc w:val="both"/>
        <w:rPr>
          <w:b/>
          <w:bCs/>
        </w:rPr>
      </w:pPr>
    </w:p>
    <w:p>
      <w:pPr>
        <w:pStyle w:val="147"/>
        <w:keepLines/>
        <w:suppressAutoHyphens/>
        <w:spacing w:after="0" w:line="360" w:lineRule="auto"/>
        <w:ind w:left="0" w:firstLine="851"/>
        <w:jc w:val="both"/>
        <w:rPr>
          <w:b/>
        </w:rPr>
      </w:pPr>
      <w:r>
        <w:rPr>
          <w:b/>
        </w:rPr>
        <w:t>на расчетный срок:</w:t>
      </w:r>
    </w:p>
    <w:p>
      <w:pPr>
        <w:pStyle w:val="147"/>
        <w:keepLines/>
        <w:suppressAutoHyphens/>
        <w:spacing w:after="0" w:line="360" w:lineRule="auto"/>
        <w:ind w:left="0" w:firstLine="851"/>
        <w:jc w:val="both"/>
      </w:pPr>
      <w:r>
        <w:t>В связи с тем, что строительство основных объектов общественного, торгового и коммунального-бытового назначения планируется осуществить на I очередь, то количество проектируемых котельных и тепловые нагрузки на расчетный срок остаются без изменения.</w:t>
      </w:r>
    </w:p>
    <w:p>
      <w:pPr>
        <w:pStyle w:val="147"/>
        <w:keepLines/>
        <w:suppressAutoHyphens/>
        <w:spacing w:after="0" w:line="360" w:lineRule="auto"/>
        <w:ind w:left="0" w:firstLine="851"/>
        <w:jc w:val="both"/>
      </w:pPr>
      <w:r>
        <w:t>Для установки в проектируемых котельных рекомендуется принимать оборудование, изделия и материалы, сертифицированные на соответствие требованиям безопасности и имеющие разрешение Госгортехнадзора РФ на применение.</w:t>
      </w:r>
    </w:p>
    <w:p>
      <w:pPr>
        <w:pStyle w:val="147"/>
        <w:keepLines/>
        <w:suppressAutoHyphens/>
        <w:spacing w:after="0" w:line="360" w:lineRule="auto"/>
        <w:ind w:left="0" w:firstLine="851"/>
        <w:jc w:val="both"/>
      </w:pPr>
    </w:p>
    <w:p>
      <w:pPr>
        <w:spacing w:line="240" w:lineRule="auto"/>
        <w:jc w:val="center"/>
        <w:rPr>
          <w:b/>
          <w:bCs/>
        </w:rPr>
      </w:pPr>
      <w:r>
        <w:rPr>
          <w:b/>
          <w:bCs/>
        </w:rPr>
        <w:t>Отопление и вентиляция</w:t>
      </w:r>
    </w:p>
    <w:p>
      <w:pPr>
        <w:pStyle w:val="147"/>
        <w:keepLines/>
        <w:suppressAutoHyphens/>
        <w:spacing w:after="0" w:line="360" w:lineRule="auto"/>
        <w:ind w:left="0" w:firstLine="851"/>
        <w:jc w:val="both"/>
      </w:pPr>
      <w:r>
        <w:t>Расход тепла на отопление и вентиляцию проектируемых жилых зданий принят по укрупненным нормам. Для общественных, культурно-бытовых и административных зданий – принимаем по типовым проектам в соответствии с действующими нормативными документами.</w:t>
      </w:r>
    </w:p>
    <w:p>
      <w:pPr>
        <w:pStyle w:val="147"/>
        <w:keepLines/>
        <w:suppressAutoHyphens/>
        <w:spacing w:after="0" w:line="360" w:lineRule="auto"/>
        <w:ind w:left="0" w:firstLine="851"/>
        <w:jc w:val="both"/>
      </w:pPr>
      <w:r>
        <w:t>Отопление одно- и двухэтажных индивидуальных жилых домов, а также проектируемых пятиэтажных секционных жилых домов принято от газовых котлов, устанавливаемых непосредственно в каждом доме или квартире.</w:t>
      </w:r>
    </w:p>
    <w:p>
      <w:pPr>
        <w:pStyle w:val="147"/>
        <w:keepLines/>
        <w:suppressAutoHyphens/>
        <w:spacing w:after="0" w:line="360" w:lineRule="auto"/>
        <w:ind w:left="0" w:firstLine="851"/>
        <w:jc w:val="both"/>
      </w:pPr>
      <w:r>
        <w:t>Отопление общественных, культурно-бытовых и административных зданий централизованное, от наружных тепловых сетей. Источниками тепла являются новые проектируемые котельные.</w:t>
      </w:r>
    </w:p>
    <w:p>
      <w:pPr>
        <w:pStyle w:val="147"/>
        <w:keepLines/>
        <w:suppressAutoHyphens/>
        <w:spacing w:after="0" w:line="360" w:lineRule="auto"/>
        <w:ind w:left="0" w:firstLine="851"/>
        <w:jc w:val="both"/>
      </w:pPr>
    </w:p>
    <w:p>
      <w:pPr>
        <w:spacing w:line="240" w:lineRule="auto"/>
        <w:jc w:val="center"/>
        <w:rPr>
          <w:b/>
          <w:bCs/>
        </w:rPr>
      </w:pPr>
      <w:r>
        <w:rPr>
          <w:b/>
          <w:bCs/>
        </w:rPr>
        <w:t>Горячее водоснабжение</w:t>
      </w:r>
    </w:p>
    <w:p>
      <w:pPr>
        <w:pStyle w:val="147"/>
        <w:keepLines/>
        <w:suppressAutoHyphens/>
        <w:spacing w:after="0" w:line="360" w:lineRule="auto"/>
        <w:ind w:left="0" w:firstLine="851"/>
        <w:jc w:val="both"/>
      </w:pPr>
      <w:r>
        <w:t>Расход тепла на горячее водоснабжение проектируемых общественных, культурно-бытовых и административных зданий принят по типовым проектам в соответствии с СП 30.13330.2016 Внутренний водопровод и канализация зданий. Актуализированная редакция СНиП 2.04.01-85* (с Поправкой, с Изменением № 1).</w:t>
      </w:r>
    </w:p>
    <w:p>
      <w:pPr>
        <w:pStyle w:val="147"/>
        <w:keepLines/>
        <w:suppressAutoHyphens/>
        <w:spacing w:after="0" w:line="360" w:lineRule="auto"/>
        <w:ind w:left="0" w:firstLine="851"/>
        <w:jc w:val="both"/>
      </w:pPr>
      <w:r>
        <w:t>Горячее водоснабжение централизованное, осуществляется от проектируемых котельных.</w:t>
      </w:r>
    </w:p>
    <w:p>
      <w:pPr>
        <w:pStyle w:val="147"/>
        <w:keepLines/>
        <w:suppressAutoHyphens/>
        <w:spacing w:after="0" w:line="360" w:lineRule="auto"/>
        <w:ind w:left="0" w:firstLine="851"/>
        <w:jc w:val="both"/>
      </w:pPr>
    </w:p>
    <w:p>
      <w:pPr>
        <w:spacing w:line="240" w:lineRule="auto"/>
        <w:jc w:val="center"/>
        <w:rPr>
          <w:b/>
          <w:bCs/>
        </w:rPr>
      </w:pPr>
      <w:r>
        <w:rPr>
          <w:b/>
          <w:bCs/>
        </w:rPr>
        <w:t>Тепловые сети</w:t>
      </w:r>
    </w:p>
    <w:p>
      <w:pPr>
        <w:pStyle w:val="147"/>
        <w:keepLines/>
        <w:suppressAutoHyphens/>
        <w:spacing w:after="0" w:line="360" w:lineRule="auto"/>
        <w:ind w:left="0" w:firstLine="851"/>
        <w:jc w:val="both"/>
      </w:pPr>
      <w:r>
        <w:t>Прокладка тепловых сетей принята подземно, в непроходных каналах. Компенсация тепловых удлинений обеспечивается поворотами трубопроводов в вертикальной и горизонтальной плоскостях, а также установкой компенсаторов.</w:t>
      </w:r>
    </w:p>
    <w:p>
      <w:pPr>
        <w:pStyle w:val="147"/>
        <w:keepLines/>
        <w:suppressAutoHyphens/>
        <w:spacing w:after="0" w:line="360" w:lineRule="auto"/>
        <w:ind w:left="0" w:firstLine="851"/>
        <w:jc w:val="both"/>
      </w:pPr>
      <w:r>
        <w:t>Трубопроводы для тепловых сетей приняты с изоляцией из пенополиуретана:</w:t>
      </w:r>
    </w:p>
    <w:p>
      <w:pPr>
        <w:pStyle w:val="147"/>
        <w:numPr>
          <w:ilvl w:val="0"/>
          <w:numId w:val="25"/>
        </w:numPr>
        <w:suppressAutoHyphens/>
        <w:spacing w:after="0" w:line="360" w:lineRule="auto"/>
        <w:jc w:val="both"/>
      </w:pPr>
      <w:r>
        <w:t>для отопления – стальные, электросварные по ГОСТ 10704-91*;</w:t>
      </w:r>
    </w:p>
    <w:p>
      <w:pPr>
        <w:pStyle w:val="147"/>
        <w:numPr>
          <w:ilvl w:val="0"/>
          <w:numId w:val="25"/>
        </w:numPr>
        <w:suppressAutoHyphens/>
        <w:spacing w:after="0" w:line="360" w:lineRule="auto"/>
        <w:jc w:val="both"/>
      </w:pPr>
      <w:r>
        <w:t>для горячего водоснабжения – стальные водогазопроводные оцинкованные по ГОСТ 3262-75*.</w:t>
      </w:r>
    </w:p>
    <w:p>
      <w:pPr>
        <w:suppressAutoHyphens/>
        <w:spacing w:after="0" w:line="360" w:lineRule="auto"/>
        <w:jc w:val="both"/>
      </w:pPr>
    </w:p>
    <w:p>
      <w:pPr>
        <w:spacing w:line="240" w:lineRule="auto"/>
        <w:jc w:val="center"/>
        <w:rPr>
          <w:b/>
          <w:bCs/>
        </w:rPr>
      </w:pPr>
      <w:r>
        <w:rPr>
          <w:b/>
          <w:bCs/>
        </w:rPr>
        <w:t xml:space="preserve">Основные технико-экономические показатели по разделу «Теплоснабжение» </w:t>
      </w:r>
    </w:p>
    <w:p>
      <w:pPr>
        <w:pStyle w:val="147"/>
        <w:numPr>
          <w:ilvl w:val="0"/>
          <w:numId w:val="23"/>
        </w:numPr>
        <w:ind w:right="142"/>
        <w:jc w:val="right"/>
        <w:rPr>
          <w:b/>
          <w:bCs/>
        </w:rPr>
      </w:pPr>
      <w:r>
        <w:rPr>
          <w:b/>
          <w:bCs/>
        </w:rPr>
        <w:t>Таблица 2</w:t>
      </w:r>
      <w:r>
        <w:rPr>
          <w:rFonts w:hint="default"/>
          <w:b/>
          <w:bCs/>
          <w:lang w:val="ru-RU"/>
        </w:rPr>
        <w:t>0</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4464"/>
        <w:gridCol w:w="1583"/>
        <w:gridCol w:w="1583"/>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rPr>
            </w:pPr>
            <w:r>
              <w:rPr>
                <w:b/>
                <w:bCs/>
              </w:rPr>
              <w:t>№ п/п</w:t>
            </w: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bCs/>
              </w:rPr>
            </w:pPr>
            <w:r>
              <w:rPr>
                <w:b/>
                <w:bCs/>
              </w:rPr>
              <w:t>Показатели</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bCs/>
              </w:rPr>
            </w:pPr>
            <w:r>
              <w:rPr>
                <w:b/>
                <w:bCs/>
              </w:rPr>
              <w:t>Единица измерения</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left="-96" w:right="-108"/>
              <w:jc w:val="center"/>
              <w:rPr>
                <w:b/>
                <w:bCs/>
              </w:rPr>
            </w:pPr>
            <w:r>
              <w:rPr>
                <w:b/>
                <w:bCs/>
              </w:rPr>
              <w:t>Современное состояние</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bCs/>
              </w:rPr>
            </w:pPr>
            <w:r>
              <w:rPr>
                <w:b/>
                <w:bCs/>
              </w:rPr>
              <w:t>Расчетный срок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rPr>
            </w:pP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b/>
              </w:rPr>
            </w:pPr>
            <w:r>
              <w:rPr>
                <w:b/>
              </w:rPr>
              <w:t>Теплоснабжение</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1</w:t>
            </w: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Потребление тепла</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млн. Гкал/год</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lang w:val="en-US"/>
              </w:rPr>
            </w:pPr>
            <w:r>
              <w:t>0,010166</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0,</w:t>
            </w:r>
            <w:r>
              <w:rPr>
                <w:bCs/>
                <w:lang w:val="en-US"/>
              </w:rPr>
              <w:t>0</w:t>
            </w:r>
            <w:r>
              <w:rPr>
                <w:bCs/>
              </w:rPr>
              <w:t>61181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 в т.ч. на коммунально-бытовые нужды</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млн. Гкал/год</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rPr>
                <w:lang w:val="en-US"/>
              </w:rPr>
            </w:pPr>
            <w:r>
              <w:t>0,010166</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0,</w:t>
            </w:r>
            <w:r>
              <w:rPr>
                <w:bCs/>
                <w:lang w:val="en-US"/>
              </w:rPr>
              <w:t>0</w:t>
            </w:r>
            <w:r>
              <w:rPr>
                <w:bCs/>
              </w:rPr>
              <w:t>61181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2</w:t>
            </w: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Производительность централизованных источников теплоснабжения– всего,</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Гкал/ч</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5,700</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32,577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 в т.ч. ТЭЦ</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Гкал/ч</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 районные котельные</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Гкал/ч</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5,700</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32,577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3</w:t>
            </w: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 xml:space="preserve">Производительность локальных </w:t>
            </w:r>
          </w:p>
          <w:p>
            <w:pPr>
              <w:ind w:firstLine="34"/>
            </w:pPr>
            <w:r>
              <w:t>источников теплоснабжения</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Гкал/ч</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rPr>
                <w:bCs/>
              </w:rPr>
              <w:t>4</w:t>
            </w:r>
          </w:p>
        </w:tc>
        <w:tc>
          <w:tcPr>
            <w:tcW w:w="2233"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pPr>
            <w:r>
              <w:t>Протяженность сетей</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км</w:t>
            </w:r>
          </w:p>
        </w:tc>
        <w:tc>
          <w:tcPr>
            <w:tcW w:w="792"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pPr>
              <w:ind w:firstLine="34"/>
              <w:jc w:val="center"/>
            </w:pPr>
            <w:r>
              <w:t>5,440</w:t>
            </w:r>
          </w:p>
        </w:tc>
      </w:tr>
    </w:tbl>
    <w:p>
      <w:pPr>
        <w:suppressAutoHyphens/>
        <w:spacing w:after="0" w:line="360" w:lineRule="auto"/>
        <w:jc w:val="both"/>
      </w:pPr>
    </w:p>
    <w:p>
      <w:pPr>
        <w:pStyle w:val="4"/>
        <w:numPr>
          <w:ilvl w:val="2"/>
          <w:numId w:val="34"/>
        </w:numPr>
        <w:spacing w:before="360" w:after="120" w:line="360" w:lineRule="auto"/>
        <w:ind w:left="0" w:firstLine="0"/>
        <w:jc w:val="center"/>
        <w:rPr>
          <w:rFonts w:ascii="Times New Roman" w:hAnsi="Times New Roman"/>
          <w:color w:val="auto"/>
          <w:sz w:val="28"/>
          <w:szCs w:val="28"/>
        </w:rPr>
      </w:pPr>
      <w:bookmarkStart w:id="149" w:name="_Toc57203219"/>
      <w:r>
        <w:rPr>
          <w:rFonts w:ascii="Times New Roman" w:hAnsi="Times New Roman"/>
          <w:color w:val="auto"/>
          <w:sz w:val="28"/>
          <w:szCs w:val="28"/>
        </w:rPr>
        <w:t>Газоснабжение</w:t>
      </w:r>
      <w:bookmarkEnd w:id="148"/>
      <w:bookmarkEnd w:id="149"/>
    </w:p>
    <w:p>
      <w:pPr>
        <w:pStyle w:val="147"/>
        <w:keepLines/>
        <w:suppressAutoHyphens/>
        <w:spacing w:after="0" w:line="360" w:lineRule="auto"/>
        <w:ind w:left="0" w:firstLine="851"/>
        <w:jc w:val="both"/>
      </w:pPr>
      <w:bookmarkStart w:id="150" w:name="_Toc353973242"/>
      <w:bookmarkStart w:id="151" w:name="_Toc268263649"/>
      <w:r>
        <w:t>На момент разработки генерального плана село Ейское Укрепление снабжается природным газом от существующей ГРС Николаевка. Объем газификации с. Ейское Укрепление приближается к 80%.</w:t>
      </w:r>
    </w:p>
    <w:p>
      <w:pPr>
        <w:pStyle w:val="147"/>
        <w:keepLines/>
        <w:suppressAutoHyphens/>
        <w:spacing w:after="0" w:line="360" w:lineRule="auto"/>
        <w:ind w:left="0" w:firstLine="851"/>
        <w:jc w:val="both"/>
      </w:pPr>
      <w:r>
        <w:t>От ГРС Николаевка по селу проложены газопроводы высокого давления к ШРП, котельным и потребителям.</w:t>
      </w:r>
    </w:p>
    <w:p>
      <w:pPr>
        <w:pStyle w:val="147"/>
        <w:keepLines/>
        <w:suppressAutoHyphens/>
        <w:spacing w:after="0" w:line="360" w:lineRule="auto"/>
        <w:ind w:left="0" w:firstLine="851"/>
        <w:jc w:val="both"/>
      </w:pPr>
      <w:r>
        <w:t>Схема газоснабжения села двухступенчатая: газопроводы высокого и низкого давления.</w:t>
      </w:r>
    </w:p>
    <w:p>
      <w:pPr>
        <w:pStyle w:val="147"/>
        <w:keepLines/>
        <w:suppressAutoHyphens/>
        <w:spacing w:after="0" w:line="360" w:lineRule="auto"/>
        <w:ind w:left="0" w:firstLine="851"/>
        <w:jc w:val="both"/>
      </w:pPr>
      <w:r>
        <w:t>К газопроводам высокого давления подключаются ШРП, котельные, общественные и производственные потребители.</w:t>
      </w:r>
    </w:p>
    <w:p>
      <w:pPr>
        <w:pStyle w:val="147"/>
        <w:keepLines/>
        <w:suppressAutoHyphens/>
        <w:spacing w:after="0" w:line="360" w:lineRule="auto"/>
        <w:ind w:left="0" w:firstLine="851"/>
        <w:jc w:val="both"/>
      </w:pPr>
      <w:r>
        <w:t>К газопроводам низкого давления подключается жилой фонд.</w:t>
      </w:r>
    </w:p>
    <w:p>
      <w:pPr>
        <w:pStyle w:val="147"/>
        <w:keepLines/>
        <w:suppressAutoHyphens/>
        <w:spacing w:after="0" w:line="360" w:lineRule="auto"/>
        <w:ind w:left="0" w:firstLine="851"/>
        <w:jc w:val="both"/>
      </w:pPr>
      <w:r>
        <w:t>На данной стадии проектирования газопроводы низкого давления не рассматриваются.</w:t>
      </w:r>
    </w:p>
    <w:p>
      <w:pPr>
        <w:pStyle w:val="147"/>
        <w:keepLines/>
        <w:suppressAutoHyphens/>
        <w:spacing w:after="0" w:line="360" w:lineRule="auto"/>
        <w:ind w:left="0" w:firstLine="851"/>
        <w:jc w:val="both"/>
      </w:pPr>
      <w:r>
        <w:t>Протяженность существующих газовых сетей с. Ейское Укрепление составляет –   29,71 км, в том числе: высокого давления – 5,09 км, низкого давления –24,62 км.</w:t>
      </w:r>
    </w:p>
    <w:p>
      <w:pPr>
        <w:pStyle w:val="147"/>
        <w:keepLines/>
        <w:suppressAutoHyphens/>
        <w:spacing w:after="0" w:line="360" w:lineRule="auto"/>
        <w:ind w:left="0" w:firstLine="851"/>
        <w:jc w:val="both"/>
      </w:pPr>
      <w:r>
        <w:t>Снижение давления газа с высокого до низкого осуществляется в 3 -х существующих установках ГРП шкафного типа.</w:t>
      </w:r>
    </w:p>
    <w:p>
      <w:pPr>
        <w:pStyle w:val="147"/>
        <w:keepLines/>
        <w:suppressAutoHyphens/>
        <w:spacing w:after="0" w:line="360" w:lineRule="auto"/>
        <w:ind w:left="0" w:firstLine="851"/>
        <w:jc w:val="both"/>
      </w:pPr>
      <w:r>
        <w:t>На проектный срок для обеспечения газом потребителей с учетом перспективного развития села необходимо построить дополнительно еще 3-и установки ГРП шкафного типа и 9-ть котельных и выполнить прокладку газопроводов высокого давления к ним протяженностью - 7,4 км.</w:t>
      </w:r>
    </w:p>
    <w:p>
      <w:pPr>
        <w:spacing w:line="240" w:lineRule="auto"/>
        <w:jc w:val="center"/>
        <w:rPr>
          <w:b/>
          <w:bCs/>
        </w:rPr>
      </w:pPr>
      <w:r>
        <w:rPr>
          <w:b/>
          <w:bCs/>
        </w:rPr>
        <w:t>Отопление</w:t>
      </w:r>
    </w:p>
    <w:p>
      <w:pPr>
        <w:pStyle w:val="147"/>
        <w:keepLines/>
        <w:suppressAutoHyphens/>
        <w:spacing w:after="0" w:line="360" w:lineRule="auto"/>
        <w:ind w:left="0" w:firstLine="851"/>
        <w:jc w:val="both"/>
      </w:pPr>
      <w:r>
        <w:t>Отопление и горячее водоснабжение одноэтажной жилой застройки предусматривается от местных отопительных установок.</w:t>
      </w:r>
    </w:p>
    <w:p>
      <w:pPr>
        <w:pStyle w:val="147"/>
        <w:keepLines/>
        <w:suppressAutoHyphens/>
        <w:spacing w:after="0" w:line="360" w:lineRule="auto"/>
        <w:ind w:left="0" w:firstLine="851"/>
        <w:jc w:val="both"/>
      </w:pPr>
      <w:r>
        <w:t>Отопление и горячее водоснабжение общественных зданий централизованное, от котельных.</w:t>
      </w:r>
    </w:p>
    <w:p>
      <w:pPr>
        <w:pStyle w:val="147"/>
        <w:keepLines/>
        <w:suppressAutoHyphens/>
        <w:spacing w:after="0" w:line="360" w:lineRule="auto"/>
        <w:ind w:left="0" w:firstLine="851"/>
        <w:jc w:val="both"/>
      </w:pPr>
      <w:r>
        <w:t>В настоящее время в селе действуют 2-е отопительные котельные, подключенные к сетям высокого давления.</w:t>
      </w:r>
    </w:p>
    <w:p>
      <w:pPr>
        <w:pStyle w:val="147"/>
        <w:keepLines/>
        <w:suppressAutoHyphens/>
        <w:spacing w:after="0" w:line="360" w:lineRule="auto"/>
        <w:ind w:left="0" w:firstLine="851"/>
        <w:jc w:val="both"/>
      </w:pPr>
      <w:r>
        <w:t xml:space="preserve">Проектом предусматривается строительство 9-и новых котельных для общественных зданий. </w:t>
      </w:r>
    </w:p>
    <w:p>
      <w:pPr>
        <w:pStyle w:val="147"/>
        <w:keepLines/>
        <w:suppressAutoHyphens/>
        <w:spacing w:after="0" w:line="360" w:lineRule="auto"/>
        <w:ind w:left="0" w:firstLine="851"/>
        <w:jc w:val="both"/>
      </w:pPr>
      <w:r>
        <w:t>Генеральным планом предлагается предусмотреть направленные на развитие системы газоснабжения:</w:t>
      </w:r>
    </w:p>
    <w:p>
      <w:pPr>
        <w:pStyle w:val="147"/>
        <w:keepLines/>
        <w:suppressAutoHyphens/>
        <w:spacing w:after="0" w:line="360" w:lineRule="auto"/>
        <w:ind w:left="0" w:firstLine="851"/>
        <w:jc w:val="both"/>
        <w:rPr>
          <w:b/>
        </w:rPr>
      </w:pPr>
      <w:r>
        <w:rPr>
          <w:b/>
        </w:rPr>
        <w:t>на 1 очередь строительства:</w:t>
      </w:r>
    </w:p>
    <w:p>
      <w:pPr>
        <w:pStyle w:val="147"/>
        <w:keepLines/>
        <w:suppressAutoHyphens/>
        <w:spacing w:after="0" w:line="360" w:lineRule="auto"/>
        <w:ind w:left="0" w:firstLine="851"/>
        <w:jc w:val="both"/>
      </w:pPr>
      <w:r>
        <w:t>Согласно заданию, на разработку генерального плана расчетные максимальные часовые расходы газа по выполненному расчету определены на первую очередь строительства до 2030г. и составляют –  15418м³/ч, в том числе:</w:t>
      </w:r>
    </w:p>
    <w:p>
      <w:pPr>
        <w:pStyle w:val="147"/>
        <w:numPr>
          <w:ilvl w:val="0"/>
          <w:numId w:val="25"/>
        </w:numPr>
        <w:suppressAutoHyphens/>
        <w:spacing w:after="0" w:line="360" w:lineRule="auto"/>
        <w:jc w:val="both"/>
      </w:pPr>
      <w:r>
        <w:t>Нагрузки на население и коммунально-бытовые нужды составляют – 10173м³/ч;</w:t>
      </w:r>
    </w:p>
    <w:p>
      <w:pPr>
        <w:pStyle w:val="147"/>
        <w:numPr>
          <w:ilvl w:val="0"/>
          <w:numId w:val="25"/>
        </w:numPr>
        <w:suppressAutoHyphens/>
        <w:spacing w:after="0" w:line="360" w:lineRule="auto"/>
        <w:jc w:val="both"/>
      </w:pPr>
      <w:r>
        <w:t xml:space="preserve">Нагрузки на общественные здания и котельные составляют - 5245м³/ч. </w:t>
      </w:r>
    </w:p>
    <w:p>
      <w:pPr>
        <w:pStyle w:val="147"/>
        <w:keepLines/>
        <w:suppressAutoHyphens/>
        <w:spacing w:after="0" w:line="360" w:lineRule="auto"/>
        <w:ind w:left="0" w:firstLine="851"/>
        <w:jc w:val="both"/>
      </w:pPr>
      <w:r>
        <w:t>Согласно заданию, на разработку генерального плана максимальные годовые расходы газа по выполненному расчету определены на первую очередь строительства до 2030 г. и составляют - 29624 тыс. м³/год.</w:t>
      </w:r>
    </w:p>
    <w:p>
      <w:pPr>
        <w:pStyle w:val="147"/>
        <w:keepLines/>
        <w:suppressAutoHyphens/>
        <w:spacing w:after="0" w:line="360" w:lineRule="auto"/>
        <w:ind w:left="0" w:firstLine="851"/>
        <w:jc w:val="both"/>
      </w:pPr>
      <w:r>
        <w:t>Нагрузки на население и коммунально-бытовые нужды составляют –19896тыс.м³/год</w:t>
      </w:r>
    </w:p>
    <w:p>
      <w:pPr>
        <w:pStyle w:val="147"/>
        <w:keepLines/>
        <w:suppressAutoHyphens/>
        <w:spacing w:after="0" w:line="360" w:lineRule="auto"/>
        <w:ind w:left="0" w:firstLine="851"/>
        <w:jc w:val="both"/>
      </w:pPr>
      <w:r>
        <w:t>Нагрузки на общественные здания и котельные составляют – 9728тыс.м³/год.</w:t>
      </w:r>
    </w:p>
    <w:p>
      <w:pPr>
        <w:pStyle w:val="147"/>
        <w:keepLines/>
        <w:suppressAutoHyphens/>
        <w:spacing w:after="0" w:line="360" w:lineRule="auto"/>
        <w:ind w:left="0" w:firstLine="851"/>
        <w:jc w:val="both"/>
        <w:rPr>
          <w:b/>
        </w:rPr>
      </w:pPr>
    </w:p>
    <w:p>
      <w:pPr>
        <w:pStyle w:val="147"/>
        <w:keepLines/>
        <w:suppressAutoHyphens/>
        <w:spacing w:after="0" w:line="360" w:lineRule="auto"/>
        <w:ind w:left="0" w:firstLine="851"/>
        <w:jc w:val="both"/>
        <w:rPr>
          <w:b/>
        </w:rPr>
      </w:pPr>
      <w:r>
        <w:rPr>
          <w:b/>
        </w:rPr>
        <w:t>на расчетный срок:</w:t>
      </w:r>
    </w:p>
    <w:p>
      <w:pPr>
        <w:pStyle w:val="147"/>
        <w:keepLines/>
        <w:suppressAutoHyphens/>
        <w:spacing w:after="0" w:line="360" w:lineRule="auto"/>
        <w:ind w:left="0" w:firstLine="851"/>
        <w:jc w:val="both"/>
      </w:pPr>
      <w:r>
        <w:t xml:space="preserve">Согласно заданию, на разработку генерального плана расчетные максимальные часовые расходы газа по выполненному расчету определены на расчетный срок до 2040г. и составляют – 17480м³/ч, в том числе:  </w:t>
      </w:r>
    </w:p>
    <w:p>
      <w:pPr>
        <w:pStyle w:val="147"/>
        <w:keepLines/>
        <w:suppressAutoHyphens/>
        <w:spacing w:after="0" w:line="360" w:lineRule="auto"/>
        <w:ind w:left="0" w:firstLine="851"/>
        <w:jc w:val="both"/>
      </w:pPr>
      <w:r>
        <w:t>Нагрузки на население и коммунально-бытовые нужды составляют – 11512м³/ч</w:t>
      </w:r>
    </w:p>
    <w:p>
      <w:pPr>
        <w:pStyle w:val="147"/>
        <w:keepLines/>
        <w:suppressAutoHyphens/>
        <w:spacing w:after="0" w:line="360" w:lineRule="auto"/>
        <w:ind w:left="0" w:firstLine="851"/>
        <w:jc w:val="both"/>
      </w:pPr>
      <w:r>
        <w:t xml:space="preserve">Нагрузки на общественные здания и котельные составляют - 5966м³/ч. </w:t>
      </w:r>
    </w:p>
    <w:p>
      <w:pPr>
        <w:pStyle w:val="147"/>
        <w:keepLines/>
        <w:suppressAutoHyphens/>
        <w:spacing w:after="0" w:line="360" w:lineRule="auto"/>
        <w:ind w:left="0" w:firstLine="851"/>
        <w:jc w:val="both"/>
      </w:pPr>
      <w:r>
        <w:t>Согласно заданию, на разработку генерального плана максимальные годовые расходы газа по выполненному расчету определены на расчетный срок до 2040 г. и составляют - 33568тыс.м³/год.</w:t>
      </w:r>
    </w:p>
    <w:p>
      <w:pPr>
        <w:pStyle w:val="147"/>
        <w:keepLines/>
        <w:suppressAutoHyphens/>
        <w:spacing w:after="0" w:line="360" w:lineRule="auto"/>
        <w:ind w:left="0" w:firstLine="851"/>
        <w:jc w:val="both"/>
      </w:pPr>
      <w:r>
        <w:t>Нагрузки на население и коммунально-бытовые нужды составляют –22536тыс.м³/год.</w:t>
      </w:r>
    </w:p>
    <w:p>
      <w:pPr>
        <w:pStyle w:val="147"/>
        <w:keepLines/>
        <w:suppressAutoHyphens/>
        <w:spacing w:after="0" w:line="360" w:lineRule="auto"/>
        <w:ind w:left="0" w:firstLine="851"/>
        <w:jc w:val="both"/>
      </w:pPr>
      <w:r>
        <w:t>Нагрузки на общественные здания и котельные составляют – 11032 тыс. м³/год.</w:t>
      </w:r>
    </w:p>
    <w:p>
      <w:pPr>
        <w:pStyle w:val="147"/>
        <w:keepLines/>
        <w:suppressAutoHyphens/>
        <w:spacing w:after="0" w:line="360" w:lineRule="auto"/>
        <w:ind w:left="0" w:firstLine="851"/>
        <w:jc w:val="both"/>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r>
        <w:rPr>
          <w:b/>
          <w:bCs/>
        </w:rPr>
        <w:t>Основные технико-экономические показатели по разделу «Газоснабжение»</w:t>
      </w:r>
    </w:p>
    <w:p>
      <w:pPr>
        <w:pStyle w:val="147"/>
        <w:numPr>
          <w:ilvl w:val="0"/>
          <w:numId w:val="23"/>
        </w:numPr>
        <w:ind w:right="142"/>
        <w:jc w:val="right"/>
        <w:rPr>
          <w:b/>
          <w:bCs/>
        </w:rPr>
      </w:pPr>
      <w:r>
        <w:rPr>
          <w:b/>
          <w:bCs/>
        </w:rPr>
        <w:t>Таблица 2</w:t>
      </w:r>
      <w:r>
        <w:rPr>
          <w:rFonts w:hint="default"/>
          <w:b/>
          <w:bCs/>
          <w:lang w:val="ru-RU"/>
        </w:rPr>
        <w:t>1</w:t>
      </w:r>
    </w:p>
    <w:tbl>
      <w:tblPr>
        <w:tblStyle w:val="3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3910"/>
        <w:gridCol w:w="1483"/>
        <w:gridCol w:w="1198"/>
        <w:gridCol w:w="1581"/>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57" w:type="pct"/>
          </w:tcPr>
          <w:p>
            <w:pPr>
              <w:jc w:val="center"/>
              <w:rPr>
                <w:b/>
                <w:bCs/>
              </w:rPr>
            </w:pPr>
            <w:r>
              <w:rPr>
                <w:b/>
                <w:bCs/>
              </w:rPr>
              <w:t>№ п/п</w:t>
            </w:r>
          </w:p>
        </w:tc>
        <w:tc>
          <w:tcPr>
            <w:tcW w:w="2000" w:type="pct"/>
          </w:tcPr>
          <w:p>
            <w:pPr>
              <w:jc w:val="center"/>
              <w:rPr>
                <w:b/>
                <w:bCs/>
              </w:rPr>
            </w:pPr>
            <w:r>
              <w:rPr>
                <w:b/>
                <w:bCs/>
              </w:rPr>
              <w:t>Показатели</w:t>
            </w:r>
          </w:p>
        </w:tc>
        <w:tc>
          <w:tcPr>
            <w:tcW w:w="786" w:type="pct"/>
          </w:tcPr>
          <w:p>
            <w:pPr>
              <w:jc w:val="center"/>
              <w:rPr>
                <w:b/>
                <w:bCs/>
              </w:rPr>
            </w:pPr>
            <w:r>
              <w:rPr>
                <w:b/>
                <w:bCs/>
              </w:rPr>
              <w:t>Единица измерения</w:t>
            </w:r>
          </w:p>
        </w:tc>
        <w:tc>
          <w:tcPr>
            <w:tcW w:w="643" w:type="pct"/>
          </w:tcPr>
          <w:p>
            <w:pPr>
              <w:ind w:left="-108" w:right="-108"/>
              <w:jc w:val="center"/>
              <w:rPr>
                <w:b/>
                <w:bCs/>
              </w:rPr>
            </w:pPr>
            <w:r>
              <w:rPr>
                <w:b/>
                <w:bCs/>
              </w:rPr>
              <w:t>Современное состояние</w:t>
            </w:r>
          </w:p>
        </w:tc>
        <w:tc>
          <w:tcPr>
            <w:tcW w:w="571" w:type="pct"/>
          </w:tcPr>
          <w:p>
            <w:pPr>
              <w:ind w:left="-108" w:right="-108"/>
              <w:jc w:val="center"/>
              <w:rPr>
                <w:b/>
                <w:bCs/>
              </w:rPr>
            </w:pPr>
            <w:r>
              <w:rPr>
                <w:b/>
                <w:bCs/>
              </w:rPr>
              <w:t>1 очередь строительства</w:t>
            </w:r>
          </w:p>
        </w:tc>
        <w:tc>
          <w:tcPr>
            <w:tcW w:w="643" w:type="pct"/>
          </w:tcPr>
          <w:p>
            <w:pPr>
              <w:jc w:val="center"/>
              <w:rPr>
                <w:b/>
                <w:bCs/>
              </w:rPr>
            </w:pPr>
            <w:r>
              <w:rPr>
                <w:b/>
                <w:bCs/>
              </w:rPr>
              <w:t>Расчетный срок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357" w:type="pct"/>
          </w:tcPr>
          <w:p>
            <w:r>
              <w:t>1</w:t>
            </w:r>
          </w:p>
        </w:tc>
        <w:tc>
          <w:tcPr>
            <w:tcW w:w="2000" w:type="pct"/>
          </w:tcPr>
          <w:p>
            <w:r>
              <w:t>Удельный вес газа в топливном балансе н/п</w:t>
            </w:r>
          </w:p>
        </w:tc>
        <w:tc>
          <w:tcPr>
            <w:tcW w:w="786" w:type="pct"/>
          </w:tcPr>
          <w:p>
            <w:pPr>
              <w:rPr>
                <w:bCs/>
              </w:rPr>
            </w:pPr>
            <w:r>
              <w:rPr>
                <w:bCs/>
              </w:rPr>
              <w:t>%</w:t>
            </w:r>
          </w:p>
        </w:tc>
        <w:tc>
          <w:tcPr>
            <w:tcW w:w="643" w:type="pct"/>
          </w:tcPr>
          <w:p>
            <w:pPr>
              <w:rPr>
                <w:bCs/>
              </w:rPr>
            </w:pPr>
            <w:r>
              <w:rPr>
                <w:bCs/>
              </w:rPr>
              <w:t>80</w:t>
            </w:r>
          </w:p>
        </w:tc>
        <w:tc>
          <w:tcPr>
            <w:tcW w:w="571" w:type="pct"/>
          </w:tcPr>
          <w:p>
            <w:pPr>
              <w:rPr>
                <w:bCs/>
              </w:rPr>
            </w:pPr>
            <w:r>
              <w:rPr>
                <w:bCs/>
              </w:rPr>
              <w:t>100</w:t>
            </w:r>
          </w:p>
        </w:tc>
        <w:tc>
          <w:tcPr>
            <w:tcW w:w="643" w:type="pct"/>
          </w:tcPr>
          <w:p>
            <w:pPr>
              <w:rPr>
                <w:bCs/>
              </w:rPr>
            </w:pPr>
            <w:r>
              <w:rPr>
                <w:bCs/>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trPr>
        <w:tc>
          <w:tcPr>
            <w:tcW w:w="357" w:type="pct"/>
          </w:tcPr>
          <w:p>
            <w:r>
              <w:t>2</w:t>
            </w:r>
          </w:p>
        </w:tc>
        <w:tc>
          <w:tcPr>
            <w:tcW w:w="2000" w:type="pct"/>
          </w:tcPr>
          <w:p>
            <w:r>
              <w:t>Потребление газа-всего</w:t>
            </w:r>
          </w:p>
        </w:tc>
        <w:tc>
          <w:tcPr>
            <w:tcW w:w="786" w:type="pct"/>
          </w:tcPr>
          <w:p>
            <w:pPr>
              <w:rPr>
                <w:bCs/>
              </w:rPr>
            </w:pPr>
            <w:r>
              <w:t>млн. м</w:t>
            </w:r>
            <w:r>
              <w:rPr>
                <w:vertAlign w:val="superscript"/>
              </w:rPr>
              <w:t>3</w:t>
            </w:r>
            <w:r>
              <w:t>/год</w:t>
            </w:r>
          </w:p>
        </w:tc>
        <w:tc>
          <w:tcPr>
            <w:tcW w:w="643" w:type="pct"/>
          </w:tcPr>
          <w:p>
            <w:pPr>
              <w:rPr>
                <w:bCs/>
              </w:rPr>
            </w:pPr>
            <w:r>
              <w:rPr>
                <w:bCs/>
              </w:rPr>
              <w:t>4,38</w:t>
            </w:r>
          </w:p>
        </w:tc>
        <w:tc>
          <w:tcPr>
            <w:tcW w:w="571" w:type="pct"/>
          </w:tcPr>
          <w:p>
            <w:pPr>
              <w:rPr>
                <w:bCs/>
              </w:rPr>
            </w:pPr>
            <w:r>
              <w:rPr>
                <w:bCs/>
              </w:rPr>
              <w:t>29,624</w:t>
            </w:r>
          </w:p>
        </w:tc>
        <w:tc>
          <w:tcPr>
            <w:tcW w:w="643" w:type="pct"/>
          </w:tcPr>
          <w:p>
            <w:pPr>
              <w:rPr>
                <w:bCs/>
              </w:rPr>
            </w:pPr>
            <w:r>
              <w:rPr>
                <w:bCs/>
              </w:rPr>
              <w:t>33,57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trPr>
        <w:tc>
          <w:tcPr>
            <w:tcW w:w="357" w:type="pct"/>
          </w:tcPr>
          <w:p/>
        </w:tc>
        <w:tc>
          <w:tcPr>
            <w:tcW w:w="2000" w:type="pct"/>
          </w:tcPr>
          <w:p>
            <w:r>
              <w:t>- в т.ч. на коммунально-бытовые нужды</w:t>
            </w:r>
          </w:p>
        </w:tc>
        <w:tc>
          <w:tcPr>
            <w:tcW w:w="786" w:type="pct"/>
          </w:tcPr>
          <w:p>
            <w:pPr>
              <w:rPr>
                <w:bCs/>
              </w:rPr>
            </w:pPr>
            <w:r>
              <w:rPr>
                <w:bCs/>
              </w:rPr>
              <w:t>-«-</w:t>
            </w:r>
          </w:p>
        </w:tc>
        <w:tc>
          <w:tcPr>
            <w:tcW w:w="643" w:type="pct"/>
          </w:tcPr>
          <w:p>
            <w:pPr>
              <w:rPr>
                <w:bCs/>
              </w:rPr>
            </w:pPr>
            <w:r>
              <w:rPr>
                <w:bCs/>
              </w:rPr>
              <w:t>2,94</w:t>
            </w:r>
          </w:p>
        </w:tc>
        <w:tc>
          <w:tcPr>
            <w:tcW w:w="571" w:type="pct"/>
          </w:tcPr>
          <w:p>
            <w:pPr>
              <w:rPr>
                <w:bCs/>
              </w:rPr>
            </w:pPr>
            <w:r>
              <w:rPr>
                <w:bCs/>
              </w:rPr>
              <w:t>19,896</w:t>
            </w:r>
          </w:p>
        </w:tc>
        <w:tc>
          <w:tcPr>
            <w:tcW w:w="643" w:type="pct"/>
          </w:tcPr>
          <w:p>
            <w:pPr>
              <w:rPr>
                <w:bCs/>
              </w:rPr>
            </w:pPr>
            <w:r>
              <w:rPr>
                <w:bCs/>
              </w:rPr>
              <w:t>22,54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357" w:type="pct"/>
          </w:tcPr>
          <w:p/>
        </w:tc>
        <w:tc>
          <w:tcPr>
            <w:tcW w:w="2000" w:type="pct"/>
          </w:tcPr>
          <w:p>
            <w:r>
              <w:t>- на котельные и общественные  здания</w:t>
            </w:r>
          </w:p>
        </w:tc>
        <w:tc>
          <w:tcPr>
            <w:tcW w:w="786" w:type="pct"/>
          </w:tcPr>
          <w:p>
            <w:pPr>
              <w:rPr>
                <w:bCs/>
              </w:rPr>
            </w:pPr>
            <w:r>
              <w:rPr>
                <w:bCs/>
              </w:rPr>
              <w:t>-»-</w:t>
            </w:r>
          </w:p>
        </w:tc>
        <w:tc>
          <w:tcPr>
            <w:tcW w:w="643" w:type="pct"/>
          </w:tcPr>
          <w:p>
            <w:pPr>
              <w:rPr>
                <w:bCs/>
              </w:rPr>
            </w:pPr>
            <w:r>
              <w:rPr>
                <w:bCs/>
              </w:rPr>
              <w:t>1,44</w:t>
            </w:r>
          </w:p>
        </w:tc>
        <w:tc>
          <w:tcPr>
            <w:tcW w:w="571" w:type="pct"/>
          </w:tcPr>
          <w:p>
            <w:pPr>
              <w:rPr>
                <w:bCs/>
              </w:rPr>
            </w:pPr>
            <w:r>
              <w:rPr>
                <w:bCs/>
              </w:rPr>
              <w:t>9,728</w:t>
            </w:r>
          </w:p>
        </w:tc>
        <w:tc>
          <w:tcPr>
            <w:tcW w:w="643" w:type="pct"/>
          </w:tcPr>
          <w:p>
            <w:pPr>
              <w:rPr>
                <w:bCs/>
              </w:rPr>
            </w:pPr>
            <w:r>
              <w:rPr>
                <w:bCs/>
              </w:rPr>
              <w:t>11,032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357" w:type="pct"/>
          </w:tcPr>
          <w:p>
            <w:r>
              <w:t>3</w:t>
            </w:r>
          </w:p>
        </w:tc>
        <w:tc>
          <w:tcPr>
            <w:tcW w:w="2000" w:type="pct"/>
          </w:tcPr>
          <w:p>
            <w:r>
              <w:t>Источники подачи газа</w:t>
            </w:r>
          </w:p>
        </w:tc>
        <w:tc>
          <w:tcPr>
            <w:tcW w:w="786" w:type="pct"/>
          </w:tcPr>
          <w:p>
            <w:pPr>
              <w:rPr>
                <w:bCs/>
              </w:rPr>
            </w:pPr>
          </w:p>
        </w:tc>
        <w:tc>
          <w:tcPr>
            <w:tcW w:w="643" w:type="pct"/>
          </w:tcPr>
          <w:p>
            <w:pPr>
              <w:rPr>
                <w:bCs/>
              </w:rPr>
            </w:pPr>
            <w:r>
              <w:rPr>
                <w:bCs/>
              </w:rPr>
              <w:t>ГРС, ШРП</w:t>
            </w:r>
          </w:p>
        </w:tc>
        <w:tc>
          <w:tcPr>
            <w:tcW w:w="571" w:type="pct"/>
          </w:tcPr>
          <w:p>
            <w:pPr>
              <w:rPr>
                <w:bCs/>
              </w:rPr>
            </w:pPr>
            <w:r>
              <w:rPr>
                <w:bCs/>
              </w:rPr>
              <w:t>ГРС, ШРП</w:t>
            </w:r>
          </w:p>
        </w:tc>
        <w:tc>
          <w:tcPr>
            <w:tcW w:w="643" w:type="pct"/>
          </w:tcPr>
          <w:p>
            <w:pPr>
              <w:rPr>
                <w:bCs/>
              </w:rPr>
            </w:pPr>
            <w:r>
              <w:rPr>
                <w:bCs/>
              </w:rPr>
              <w:t>ГРС, ШРП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rPr>
        <w:tc>
          <w:tcPr>
            <w:tcW w:w="357" w:type="pct"/>
          </w:tcPr>
          <w:p>
            <w:r>
              <w:t>4</w:t>
            </w:r>
          </w:p>
        </w:tc>
        <w:tc>
          <w:tcPr>
            <w:tcW w:w="2000" w:type="pct"/>
          </w:tcPr>
          <w:p>
            <w:r>
              <w:t>Протяженность сетей высокого давления</w:t>
            </w:r>
          </w:p>
        </w:tc>
        <w:tc>
          <w:tcPr>
            <w:tcW w:w="786" w:type="pct"/>
          </w:tcPr>
          <w:p>
            <w:pPr>
              <w:rPr>
                <w:bCs/>
              </w:rPr>
            </w:pPr>
            <w:r>
              <w:rPr>
                <w:bCs/>
              </w:rPr>
              <w:t>км</w:t>
            </w:r>
          </w:p>
        </w:tc>
        <w:tc>
          <w:tcPr>
            <w:tcW w:w="643" w:type="pct"/>
          </w:tcPr>
          <w:p>
            <w:r>
              <w:t>5,09</w:t>
            </w:r>
          </w:p>
          <w:p/>
        </w:tc>
        <w:tc>
          <w:tcPr>
            <w:tcW w:w="571" w:type="pct"/>
          </w:tcPr>
          <w:p>
            <w:r>
              <w:t>7,4</w:t>
            </w:r>
          </w:p>
          <w:p/>
        </w:tc>
        <w:tc>
          <w:tcPr>
            <w:tcW w:w="643" w:type="pct"/>
          </w:tcPr>
          <w:p>
            <w:r>
              <w:t>7,4</w:t>
            </w:r>
          </w:p>
        </w:tc>
      </w:tr>
    </w:tbl>
    <w:p>
      <w:pPr>
        <w:pStyle w:val="4"/>
        <w:spacing w:before="0" w:after="120" w:line="360" w:lineRule="auto"/>
        <w:jc w:val="center"/>
        <w:rPr>
          <w:rFonts w:ascii="Times New Roman" w:hAnsi="Times New Roman"/>
          <w:color w:val="auto"/>
          <w:sz w:val="28"/>
          <w:szCs w:val="28"/>
        </w:rPr>
      </w:pPr>
      <w:bookmarkStart w:id="152" w:name="_Toc57203220"/>
      <w:r>
        <w:rPr>
          <w:rFonts w:ascii="Times New Roman" w:hAnsi="Times New Roman"/>
          <w:color w:val="auto"/>
          <w:sz w:val="28"/>
          <w:szCs w:val="28"/>
        </w:rPr>
        <w:t>2.8.5</w:t>
      </w:r>
      <w:r>
        <w:rPr>
          <w:rFonts w:ascii="Times New Roman" w:hAnsi="Times New Roman"/>
          <w:color w:val="auto"/>
          <w:sz w:val="28"/>
          <w:szCs w:val="28"/>
        </w:rPr>
        <w:tab/>
      </w:r>
      <w:r>
        <w:rPr>
          <w:rFonts w:ascii="Times New Roman" w:hAnsi="Times New Roman"/>
          <w:color w:val="auto"/>
          <w:sz w:val="28"/>
          <w:szCs w:val="28"/>
        </w:rPr>
        <w:t>Электроснабжение</w:t>
      </w:r>
      <w:bookmarkEnd w:id="150"/>
      <w:bookmarkEnd w:id="151"/>
      <w:bookmarkEnd w:id="152"/>
    </w:p>
    <w:p>
      <w:pPr>
        <w:spacing w:line="240" w:lineRule="auto"/>
        <w:jc w:val="center"/>
        <w:rPr>
          <w:b/>
          <w:bCs/>
        </w:rPr>
      </w:pPr>
      <w:r>
        <w:rPr>
          <w:b/>
          <w:bCs/>
        </w:rPr>
        <w:t>Электрические нагрузки</w:t>
      </w:r>
    </w:p>
    <w:p>
      <w:pPr>
        <w:pStyle w:val="147"/>
        <w:keepLines/>
        <w:suppressAutoHyphens/>
        <w:spacing w:after="0" w:line="360" w:lineRule="auto"/>
        <w:ind w:left="0" w:firstLine="851"/>
        <w:jc w:val="both"/>
      </w:pPr>
      <w:r>
        <w:t>Существующие электрические сети подлежат реконструкции с учетом перспективного развития населенного пункта. Планируется демонтаж части существующих ВЛ 10кВ и прокладка новых участков ВЛ 10кВ от подстанции 35/10кВ «Ей-Укрепление».</w:t>
      </w:r>
    </w:p>
    <w:p>
      <w:pPr>
        <w:pStyle w:val="147"/>
        <w:keepLines/>
        <w:suppressAutoHyphens/>
        <w:spacing w:after="0" w:line="360" w:lineRule="auto"/>
        <w:ind w:left="0" w:firstLine="851"/>
        <w:jc w:val="both"/>
      </w:pPr>
      <w:r>
        <w:t>Проектируемые и существующие электрические нагрузки жилищно-коммунального сектора определялись по типовым проектам, а также в соответствии с СП 31-110-2003 «Проектирование и монтаж электроустановок жилых и общественных зданий» и РД 34.20.185-94 «Инструкции по проектированию городских электрических сетей».</w:t>
      </w:r>
    </w:p>
    <w:p>
      <w:pPr>
        <w:pStyle w:val="147"/>
        <w:keepLines/>
        <w:suppressAutoHyphens/>
        <w:spacing w:after="0" w:line="360" w:lineRule="auto"/>
        <w:ind w:left="0" w:firstLine="851"/>
        <w:jc w:val="both"/>
      </w:pPr>
    </w:p>
    <w:p>
      <w:pPr>
        <w:spacing w:line="240" w:lineRule="auto"/>
        <w:jc w:val="center"/>
        <w:rPr>
          <w:b/>
          <w:bCs/>
        </w:rPr>
      </w:pPr>
      <w:r>
        <w:rPr>
          <w:b/>
          <w:bCs/>
        </w:rPr>
        <w:t>Расчёт электрических нагрузок</w:t>
      </w:r>
    </w:p>
    <w:p>
      <w:pPr>
        <w:pStyle w:val="147"/>
        <w:numPr>
          <w:ilvl w:val="0"/>
          <w:numId w:val="23"/>
        </w:numPr>
        <w:ind w:right="142"/>
        <w:jc w:val="right"/>
        <w:rPr>
          <w:b/>
          <w:bCs/>
        </w:rPr>
      </w:pPr>
      <w:r>
        <w:rPr>
          <w:b/>
          <w:bCs/>
        </w:rPr>
        <w:t>Таблица 2</w:t>
      </w:r>
      <w:r>
        <w:rPr>
          <w:rFonts w:hint="default"/>
          <w:b/>
          <w:bCs/>
          <w:lang w:val="ru-RU"/>
        </w:rPr>
        <w:t>2</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5265"/>
        <w:gridCol w:w="2046"/>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24" w:type="pct"/>
            <w:vAlign w:val="center"/>
          </w:tcPr>
          <w:p>
            <w:pPr>
              <w:jc w:val="center"/>
              <w:rPr>
                <w:b/>
              </w:rPr>
            </w:pPr>
            <w:r>
              <w:rPr>
                <w:b/>
              </w:rPr>
              <w:t>№ п/п</w:t>
            </w:r>
          </w:p>
        </w:tc>
        <w:tc>
          <w:tcPr>
            <w:tcW w:w="2633" w:type="pct"/>
            <w:vAlign w:val="center"/>
          </w:tcPr>
          <w:p>
            <w:pPr>
              <w:jc w:val="center"/>
              <w:rPr>
                <w:b/>
              </w:rPr>
            </w:pPr>
            <w:r>
              <w:rPr>
                <w:b/>
              </w:rPr>
              <w:t>Потребители</w:t>
            </w:r>
          </w:p>
        </w:tc>
        <w:tc>
          <w:tcPr>
            <w:tcW w:w="1023" w:type="pct"/>
            <w:vAlign w:val="center"/>
          </w:tcPr>
          <w:p>
            <w:pPr>
              <w:jc w:val="center"/>
              <w:rPr>
                <w:b/>
              </w:rPr>
            </w:pPr>
            <w:r>
              <w:rPr>
                <w:b/>
              </w:rPr>
              <w:t>Расчётная нагрузка, кВт</w:t>
            </w:r>
          </w:p>
        </w:tc>
        <w:tc>
          <w:tcPr>
            <w:tcW w:w="919" w:type="pct"/>
            <w:vAlign w:val="center"/>
          </w:tcPr>
          <w:p>
            <w:pPr>
              <w:jc w:val="center"/>
              <w:rPr>
                <w:b/>
              </w:rPr>
            </w:pPr>
            <w:r>
              <w:rPr>
                <w:b/>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424" w:type="pct"/>
            <w:vMerge w:val="restart"/>
          </w:tcPr>
          <w:p>
            <w:r>
              <w:t>1</w:t>
            </w:r>
          </w:p>
        </w:tc>
        <w:tc>
          <w:tcPr>
            <w:tcW w:w="2633" w:type="pct"/>
          </w:tcPr>
          <w:p>
            <w:r>
              <w:t>Жилищно-коммунальный сектор:</w:t>
            </w:r>
          </w:p>
        </w:tc>
        <w:tc>
          <w:tcPr>
            <w:tcW w:w="1023" w:type="pct"/>
          </w:tcP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24" w:type="pct"/>
            <w:vMerge w:val="continue"/>
          </w:tcPr>
          <w:p/>
        </w:tc>
        <w:tc>
          <w:tcPr>
            <w:tcW w:w="2633" w:type="pct"/>
          </w:tcPr>
          <w:p>
            <w:pPr>
              <w:numPr>
                <w:ilvl w:val="0"/>
                <w:numId w:val="35"/>
              </w:numPr>
              <w:spacing w:after="0" w:line="240" w:lineRule="auto"/>
            </w:pPr>
            <w:r>
              <w:t>существующий</w:t>
            </w:r>
          </w:p>
        </w:tc>
        <w:tc>
          <w:tcPr>
            <w:tcW w:w="1023" w:type="pct"/>
          </w:tcPr>
          <w:p>
            <w:r>
              <w:t>1364</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24" w:type="pct"/>
            <w:vMerge w:val="continue"/>
          </w:tcPr>
          <w:p/>
        </w:tc>
        <w:tc>
          <w:tcPr>
            <w:tcW w:w="2633" w:type="pct"/>
          </w:tcPr>
          <w:p>
            <w:pPr>
              <w:numPr>
                <w:ilvl w:val="0"/>
                <w:numId w:val="35"/>
              </w:numPr>
              <w:spacing w:after="0" w:line="240" w:lineRule="auto"/>
            </w:pPr>
            <w:r>
              <w:t>проектируемый</w:t>
            </w:r>
          </w:p>
        </w:tc>
        <w:tc>
          <w:tcPr>
            <w:tcW w:w="1023" w:type="pct"/>
          </w:tcPr>
          <w:p>
            <w:r>
              <w:t>9000</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424" w:type="pct"/>
          </w:tcPr>
          <w:p>
            <w:r>
              <w:t>2</w:t>
            </w:r>
          </w:p>
        </w:tc>
        <w:tc>
          <w:tcPr>
            <w:tcW w:w="2633" w:type="pct"/>
          </w:tcPr>
          <w:p>
            <w:r>
              <w:t>Общественно-деловой, культурно-бытовой и производственный сектор</w:t>
            </w:r>
          </w:p>
        </w:tc>
        <w:tc>
          <w:tcPr>
            <w:tcW w:w="1023" w:type="pct"/>
          </w:tcP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424" w:type="pct"/>
          </w:tcPr>
          <w:p/>
        </w:tc>
        <w:tc>
          <w:tcPr>
            <w:tcW w:w="2633" w:type="pct"/>
          </w:tcPr>
          <w:p>
            <w:pPr>
              <w:numPr>
                <w:ilvl w:val="0"/>
                <w:numId w:val="35"/>
              </w:numPr>
              <w:spacing w:after="0" w:line="240" w:lineRule="auto"/>
            </w:pPr>
            <w:r>
              <w:t xml:space="preserve"> существующий</w:t>
            </w:r>
          </w:p>
        </w:tc>
        <w:tc>
          <w:tcPr>
            <w:tcW w:w="1023" w:type="pct"/>
          </w:tcPr>
          <w:p>
            <w:r>
              <w:t>265</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424" w:type="pct"/>
          </w:tcPr>
          <w:p/>
        </w:tc>
        <w:tc>
          <w:tcPr>
            <w:tcW w:w="2633" w:type="pct"/>
          </w:tcPr>
          <w:p>
            <w:pPr>
              <w:numPr>
                <w:ilvl w:val="0"/>
                <w:numId w:val="35"/>
              </w:numPr>
              <w:spacing w:after="0" w:line="240" w:lineRule="auto"/>
            </w:pPr>
            <w:r>
              <w:t xml:space="preserve"> проектируемый</w:t>
            </w:r>
          </w:p>
        </w:tc>
        <w:tc>
          <w:tcPr>
            <w:tcW w:w="1023" w:type="pct"/>
          </w:tcPr>
          <w:p>
            <w:r>
              <w:t>5638</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rPr>
        <w:tc>
          <w:tcPr>
            <w:tcW w:w="424" w:type="pct"/>
          </w:tcPr>
          <w:p>
            <w:r>
              <w:t>3</w:t>
            </w:r>
          </w:p>
        </w:tc>
        <w:tc>
          <w:tcPr>
            <w:tcW w:w="2633" w:type="pct"/>
          </w:tcPr>
          <w:p>
            <w:r>
              <w:t>Наружное освещение</w:t>
            </w:r>
          </w:p>
        </w:tc>
        <w:tc>
          <w:tcPr>
            <w:tcW w:w="1023" w:type="pct"/>
          </w:tcPr>
          <w:p>
            <w:r>
              <w:t>300</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24" w:type="pct"/>
          </w:tcPr>
          <w:p/>
        </w:tc>
        <w:tc>
          <w:tcPr>
            <w:tcW w:w="2633" w:type="pct"/>
          </w:tcPr>
          <w:p>
            <w:r>
              <w:t>Итого:    а) Существующие</w:t>
            </w:r>
          </w:p>
          <w:p>
            <w:r>
              <w:t xml:space="preserve">                б) Проектируемые</w:t>
            </w:r>
          </w:p>
        </w:tc>
        <w:tc>
          <w:tcPr>
            <w:tcW w:w="1023" w:type="pct"/>
          </w:tcPr>
          <w:p>
            <w:r>
              <w:t>1629</w:t>
            </w:r>
          </w:p>
          <w:p>
            <w:r>
              <w:t>14938</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424" w:type="pct"/>
          </w:tcPr>
          <w:p/>
        </w:tc>
        <w:tc>
          <w:tcPr>
            <w:tcW w:w="2633" w:type="pct"/>
          </w:tcPr>
          <w:p>
            <w:r>
              <w:t>Итого:     а) + б)</w:t>
            </w:r>
          </w:p>
        </w:tc>
        <w:tc>
          <w:tcPr>
            <w:tcW w:w="1023" w:type="pct"/>
          </w:tcPr>
          <w:p>
            <w:r>
              <w:t>16567</w:t>
            </w:r>
          </w:p>
        </w:tc>
        <w:tc>
          <w:tcPr>
            <w:tcW w:w="919"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trPr>
        <w:tc>
          <w:tcPr>
            <w:tcW w:w="424" w:type="pct"/>
          </w:tcPr>
          <w:p/>
        </w:tc>
        <w:tc>
          <w:tcPr>
            <w:tcW w:w="2633" w:type="pct"/>
          </w:tcPr>
          <w:p>
            <w:r>
              <w:t>Всего с учётом коэффициента одновременности 0,7 на стороне в соответствии с СП 31-110-2003 и РД 34.20.185-94</w:t>
            </w:r>
          </w:p>
        </w:tc>
        <w:tc>
          <w:tcPr>
            <w:tcW w:w="1023" w:type="pct"/>
          </w:tcPr>
          <w:p>
            <w:r>
              <w:t>11597</w:t>
            </w:r>
          </w:p>
        </w:tc>
        <w:tc>
          <w:tcPr>
            <w:tcW w:w="919" w:type="pct"/>
          </w:tcPr>
          <w:p/>
        </w:tc>
      </w:tr>
    </w:tbl>
    <w:p>
      <w:pPr>
        <w:spacing w:line="240" w:lineRule="auto"/>
        <w:jc w:val="center"/>
        <w:rPr>
          <w:b/>
          <w:bCs/>
        </w:rPr>
      </w:pPr>
      <w:r>
        <w:rPr>
          <w:sz w:val="28"/>
          <w:szCs w:val="28"/>
        </w:rPr>
        <w:br w:type="page"/>
      </w:r>
      <w:r>
        <w:rPr>
          <w:b/>
          <w:bCs/>
        </w:rPr>
        <w:t>Источники питания и трансформаторные подстанции</w:t>
      </w:r>
    </w:p>
    <w:p>
      <w:pPr>
        <w:pStyle w:val="147"/>
        <w:keepLines/>
        <w:suppressAutoHyphens/>
        <w:spacing w:after="0" w:line="360" w:lineRule="auto"/>
        <w:ind w:left="0" w:firstLine="851"/>
        <w:jc w:val="both"/>
      </w:pPr>
      <w:r>
        <w:t>Источником электроснабжения проектируемых объектов села Ейское Укрепление является существующая трансформаторная подстанция 35/10кВ «Ей-Укрепление» с трансформатором 2500кВА.</w:t>
      </w:r>
    </w:p>
    <w:p>
      <w:pPr>
        <w:pStyle w:val="147"/>
        <w:keepLines/>
        <w:suppressAutoHyphens/>
        <w:spacing w:after="0" w:line="360" w:lineRule="auto"/>
        <w:ind w:left="0" w:firstLine="851"/>
        <w:jc w:val="both"/>
      </w:pPr>
      <w:r>
        <w:t>В связи с увеличением нагрузок села в расчётном периоде и для улучшения схемы электроснабжения, обеспечивающей бесперебойным питанием её потребителей, предусматривается:</w:t>
      </w:r>
    </w:p>
    <w:p>
      <w:pPr>
        <w:pStyle w:val="147"/>
        <w:numPr>
          <w:ilvl w:val="0"/>
          <w:numId w:val="25"/>
        </w:numPr>
        <w:suppressAutoHyphens/>
        <w:spacing w:after="0" w:line="360" w:lineRule="auto"/>
        <w:jc w:val="both"/>
      </w:pPr>
      <w:r>
        <w:t>реконструкция существующей подстанции 35/10кВ «Ей-Укрепление» с заменой существующего трансформатора 2,5МВА на 2х10,0МВА;</w:t>
      </w:r>
    </w:p>
    <w:p>
      <w:pPr>
        <w:pStyle w:val="147"/>
        <w:numPr>
          <w:ilvl w:val="0"/>
          <w:numId w:val="25"/>
        </w:numPr>
        <w:suppressAutoHyphens/>
        <w:spacing w:after="0" w:line="360" w:lineRule="auto"/>
        <w:jc w:val="both"/>
      </w:pPr>
      <w:r>
        <w:t>перевод данной подстанции на напряжение 110кВ.</w:t>
      </w:r>
    </w:p>
    <w:p>
      <w:pPr>
        <w:pStyle w:val="147"/>
        <w:keepLines/>
        <w:suppressAutoHyphens/>
        <w:spacing w:after="0" w:line="360" w:lineRule="auto"/>
        <w:ind w:left="0" w:firstLine="851"/>
        <w:jc w:val="both"/>
      </w:pPr>
      <w:r>
        <w:t>Величина мощности трансформаторов принята с учётом дополнительных нагрузок села Ейское Укрепление, согласно разработанному единому генеральному плану. Разработанная проектом схема электроснабжения предусматривает строительство 15 новых трансформаторных подстанций 10/0,4кВ, а также использование 16 существующих трансформаторных подстанций, в том числе трех с увеличением мощности.</w:t>
      </w:r>
    </w:p>
    <w:p>
      <w:pPr>
        <w:pStyle w:val="147"/>
        <w:keepLines/>
        <w:suppressAutoHyphens/>
        <w:spacing w:after="0" w:line="360" w:lineRule="auto"/>
        <w:ind w:left="0" w:firstLine="851"/>
        <w:jc w:val="both"/>
      </w:pPr>
      <w:r>
        <w:t>Проектируемые подстанции приняты следующих типов:</w:t>
      </w:r>
    </w:p>
    <w:p>
      <w:pPr>
        <w:pStyle w:val="147"/>
        <w:numPr>
          <w:ilvl w:val="0"/>
          <w:numId w:val="25"/>
        </w:numPr>
        <w:suppressAutoHyphens/>
        <w:spacing w:after="0" w:line="360" w:lineRule="auto"/>
        <w:jc w:val="both"/>
      </w:pPr>
      <w:r>
        <w:t>Комплектная трансформаторная подстанция мощностью 100кВА, типа КТП-100 (№013;014).</w:t>
      </w:r>
    </w:p>
    <w:p>
      <w:pPr>
        <w:pStyle w:val="147"/>
        <w:numPr>
          <w:ilvl w:val="0"/>
          <w:numId w:val="25"/>
        </w:numPr>
        <w:suppressAutoHyphens/>
        <w:spacing w:after="0" w:line="360" w:lineRule="auto"/>
        <w:jc w:val="both"/>
      </w:pPr>
      <w:r>
        <w:t>Комплектная трансформаторная подстанция мощностью 160кВА, типа КТП-160 (№02;03;05;06).</w:t>
      </w:r>
    </w:p>
    <w:p>
      <w:pPr>
        <w:pStyle w:val="147"/>
        <w:numPr>
          <w:ilvl w:val="0"/>
          <w:numId w:val="25"/>
        </w:numPr>
        <w:suppressAutoHyphens/>
        <w:spacing w:after="0" w:line="360" w:lineRule="auto"/>
        <w:jc w:val="both"/>
      </w:pPr>
      <w:r>
        <w:t>Комплектная трансформаторная подстанция мощностью 630кВА, проходного типа КТПП-630 (№015;016;017;018).</w:t>
      </w:r>
    </w:p>
    <w:p>
      <w:pPr>
        <w:pStyle w:val="147"/>
        <w:numPr>
          <w:ilvl w:val="0"/>
          <w:numId w:val="25"/>
        </w:numPr>
        <w:suppressAutoHyphens/>
        <w:spacing w:after="0" w:line="360" w:lineRule="auto"/>
        <w:jc w:val="both"/>
      </w:pPr>
      <w:r>
        <w:t>Блочная трансформаторная подстанция мощностью 2х250кВА, БКТП-2х250 (№04;09).</w:t>
      </w:r>
    </w:p>
    <w:p>
      <w:pPr>
        <w:pStyle w:val="147"/>
        <w:numPr>
          <w:ilvl w:val="0"/>
          <w:numId w:val="25"/>
        </w:numPr>
        <w:suppressAutoHyphens/>
        <w:spacing w:after="0" w:line="360" w:lineRule="auto"/>
        <w:jc w:val="both"/>
      </w:pPr>
      <w:r>
        <w:t>Блочная трансформаторная подстанция мощностью 2х400кВА, БКТП-2х400 (№01;07).</w:t>
      </w:r>
    </w:p>
    <w:p>
      <w:pPr>
        <w:pStyle w:val="147"/>
        <w:numPr>
          <w:ilvl w:val="0"/>
          <w:numId w:val="25"/>
        </w:numPr>
        <w:suppressAutoHyphens/>
        <w:spacing w:after="0" w:line="360" w:lineRule="auto"/>
        <w:jc w:val="both"/>
      </w:pPr>
      <w:r>
        <w:t>Блочная трансформаторная подстанция мощностью 2х1000кВА, БКТП-2х1000 (№08;010).</w:t>
      </w:r>
    </w:p>
    <w:p>
      <w:pPr>
        <w:spacing w:line="240" w:lineRule="auto"/>
        <w:jc w:val="center"/>
        <w:rPr>
          <w:b/>
          <w:bCs/>
        </w:rPr>
      </w:pPr>
    </w:p>
    <w:p>
      <w:pPr>
        <w:spacing w:line="240" w:lineRule="auto"/>
        <w:jc w:val="center"/>
        <w:rPr>
          <w:b/>
          <w:bCs/>
        </w:rPr>
      </w:pPr>
      <w:r>
        <w:rPr>
          <w:b/>
          <w:bCs/>
        </w:rPr>
        <w:t>Линии 10кВ</w:t>
      </w:r>
    </w:p>
    <w:p>
      <w:pPr>
        <w:pStyle w:val="147"/>
        <w:keepLines/>
        <w:suppressAutoHyphens/>
        <w:spacing w:after="0" w:line="360" w:lineRule="auto"/>
        <w:ind w:left="0" w:firstLine="851"/>
        <w:jc w:val="both"/>
      </w:pPr>
      <w:r>
        <w:t>Трассы ВЛ-10кВ выбраны с учётом перспективного развития населенного пункта.</w:t>
      </w:r>
    </w:p>
    <w:p>
      <w:pPr>
        <w:pStyle w:val="147"/>
        <w:keepLines/>
        <w:suppressAutoHyphens/>
        <w:spacing w:after="0" w:line="360" w:lineRule="auto"/>
        <w:ind w:left="0" w:firstLine="851"/>
        <w:jc w:val="both"/>
      </w:pPr>
      <w:r>
        <w:t>Местность, по которой проходят проектируемые ВЛ 10кВ, относится к IV району по гололёдным и III району по ветровым нагрузкам.</w:t>
      </w:r>
    </w:p>
    <w:p>
      <w:pPr>
        <w:pStyle w:val="147"/>
        <w:keepLines/>
        <w:suppressAutoHyphens/>
        <w:spacing w:after="0" w:line="360" w:lineRule="auto"/>
        <w:ind w:left="0" w:firstLine="851"/>
        <w:jc w:val="both"/>
      </w:pPr>
      <w:r>
        <w:t>Опоры приняты железобетонные по типовому проекту АРХ Л56-97-«Одноцепные ж/б опоры со стойками СВ110, С112, С105 ВЛ 10кВ с защищёнными проводами».</w:t>
      </w:r>
    </w:p>
    <w:p>
      <w:pPr>
        <w:pStyle w:val="147"/>
        <w:keepLines/>
        <w:suppressAutoHyphens/>
        <w:spacing w:after="0" w:line="360" w:lineRule="auto"/>
        <w:ind w:left="0" w:firstLine="851"/>
        <w:jc w:val="both"/>
      </w:pPr>
      <w:r>
        <w:t>Протяжённость проектируемых ВЛ 10кВ - 16,22 км.</w:t>
      </w:r>
    </w:p>
    <w:p>
      <w:pPr>
        <w:pStyle w:val="147"/>
        <w:keepLines/>
        <w:suppressAutoHyphens/>
        <w:spacing w:after="0" w:line="360" w:lineRule="auto"/>
        <w:ind w:left="0" w:firstLine="851"/>
        <w:jc w:val="both"/>
      </w:pPr>
      <w:r>
        <w:t>Протяжённость реконструируемых ВЛ 10кВ - 13,31 км.</w:t>
      </w:r>
    </w:p>
    <w:p>
      <w:pPr>
        <w:pStyle w:val="147"/>
        <w:keepLines/>
        <w:suppressAutoHyphens/>
        <w:spacing w:after="0" w:line="360" w:lineRule="auto"/>
        <w:ind w:left="0" w:firstLine="851"/>
        <w:jc w:val="both"/>
      </w:pPr>
      <w:r>
        <w:t>Воздушные линии 10кВ запроектированы изолированными проводами типа SAX сечением 95кв.мм. на магистральных линиях и 70кв.мм. на отпайках.</w:t>
      </w:r>
    </w:p>
    <w:p>
      <w:pPr>
        <w:pStyle w:val="147"/>
        <w:keepLines/>
        <w:suppressAutoHyphens/>
        <w:spacing w:after="0" w:line="360" w:lineRule="auto"/>
        <w:ind w:left="0" w:firstLine="851"/>
        <w:jc w:val="both"/>
      </w:pPr>
    </w:p>
    <w:p>
      <w:pPr>
        <w:spacing w:line="240" w:lineRule="auto"/>
        <w:jc w:val="center"/>
        <w:rPr>
          <w:b/>
          <w:bCs/>
        </w:rPr>
      </w:pPr>
      <w:r>
        <w:rPr>
          <w:b/>
          <w:bCs/>
        </w:rPr>
        <w:t>Линии 35-110кВ</w:t>
      </w:r>
    </w:p>
    <w:p>
      <w:pPr>
        <w:pStyle w:val="147"/>
        <w:keepLines/>
        <w:suppressAutoHyphens/>
        <w:spacing w:after="0" w:line="360" w:lineRule="auto"/>
        <w:ind w:left="0" w:firstLine="851"/>
        <w:jc w:val="both"/>
      </w:pPr>
      <w:r>
        <w:t>Электроснабжение села Ейское Укрепление осуществляется от электрической сети 10, 35кВ, являющихся частью энергосистемы ОАО «Кубаньэнерго». Источником электроснабжения является трансформаторная подстанция 35/10кВ «Ей-Укрепление».</w:t>
      </w:r>
    </w:p>
    <w:p>
      <w:pPr>
        <w:pStyle w:val="147"/>
        <w:keepLines/>
        <w:suppressAutoHyphens/>
        <w:spacing w:after="0" w:line="360" w:lineRule="auto"/>
        <w:ind w:left="0" w:firstLine="851"/>
        <w:jc w:val="both"/>
      </w:pPr>
      <w:r>
        <w:t>Недостатком схемы электроснабжения на ПС 35/10кВ «Ей-Укрепление» является значительный износ электрооборудования и повышенные к ним требования нормативно-технических документов. С учётом изложенного и ожидаемого роста электропотребления на территории села Ейское Укрепление и расположенного рядом села Николаевка, прогнозируемого на расчётный срок, схемой рекомендуется перевод ПС 35/10кВ «Ей-Укрепление» на напряжение 110кВ и строительство новых линий ВЛ 35кВ «Шабельская-Ей-Укрепление», ВЛ 110кВ «Ей-Укрепление-Широчанка».</w:t>
      </w:r>
    </w:p>
    <w:p>
      <w:pPr>
        <w:pStyle w:val="147"/>
        <w:keepLines/>
        <w:suppressAutoHyphens/>
        <w:spacing w:after="0" w:line="360" w:lineRule="auto"/>
        <w:ind w:left="0" w:firstLine="851"/>
        <w:jc w:val="both"/>
      </w:pPr>
    </w:p>
    <w:p>
      <w:pPr>
        <w:spacing w:line="240" w:lineRule="auto"/>
        <w:jc w:val="center"/>
        <w:rPr>
          <w:b/>
          <w:bCs/>
        </w:rPr>
      </w:pPr>
      <w:r>
        <w:rPr>
          <w:b/>
          <w:bCs/>
        </w:rPr>
        <w:t>Основные технико-экономические показатели по разделу «Электроснабжение»</w:t>
      </w:r>
    </w:p>
    <w:p>
      <w:pPr>
        <w:pStyle w:val="147"/>
        <w:numPr>
          <w:ilvl w:val="0"/>
          <w:numId w:val="23"/>
        </w:numPr>
        <w:ind w:right="142"/>
        <w:jc w:val="right"/>
        <w:rPr>
          <w:b/>
          <w:bCs/>
        </w:rPr>
      </w:pPr>
      <w:r>
        <w:rPr>
          <w:b/>
          <w:bCs/>
        </w:rPr>
        <w:t>Таблица 2</w:t>
      </w:r>
      <w:r>
        <w:rPr>
          <w:rFonts w:hint="default"/>
          <w:b/>
          <w:bCs/>
          <w:lang w:val="ru-RU"/>
        </w:rPr>
        <w:t>3</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4004"/>
        <w:gridCol w:w="1587"/>
        <w:gridCol w:w="1927"/>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blHeader/>
        </w:trPr>
        <w:tc>
          <w:tcPr>
            <w:tcW w:w="418" w:type="pct"/>
            <w:vAlign w:val="center"/>
          </w:tcPr>
          <w:p>
            <w:pPr>
              <w:jc w:val="center"/>
              <w:rPr>
                <w:b/>
              </w:rPr>
            </w:pPr>
            <w:r>
              <w:rPr>
                <w:b/>
              </w:rPr>
              <w:t>№  п/п</w:t>
            </w:r>
          </w:p>
        </w:tc>
        <w:tc>
          <w:tcPr>
            <w:tcW w:w="2003" w:type="pct"/>
            <w:vAlign w:val="center"/>
          </w:tcPr>
          <w:p>
            <w:pPr>
              <w:jc w:val="center"/>
              <w:rPr>
                <w:b/>
              </w:rPr>
            </w:pPr>
            <w:r>
              <w:rPr>
                <w:b/>
              </w:rPr>
              <w:t>Показатели</w:t>
            </w:r>
          </w:p>
        </w:tc>
        <w:tc>
          <w:tcPr>
            <w:tcW w:w="794" w:type="pct"/>
            <w:vAlign w:val="center"/>
          </w:tcPr>
          <w:p>
            <w:pPr>
              <w:jc w:val="center"/>
              <w:rPr>
                <w:b/>
              </w:rPr>
            </w:pPr>
            <w:r>
              <w:rPr>
                <w:b/>
              </w:rPr>
              <w:t>Ед. измерения</w:t>
            </w:r>
          </w:p>
        </w:tc>
        <w:tc>
          <w:tcPr>
            <w:tcW w:w="964" w:type="pct"/>
            <w:vAlign w:val="center"/>
          </w:tcPr>
          <w:p>
            <w:pPr>
              <w:jc w:val="center"/>
              <w:rPr>
                <w:b/>
              </w:rPr>
            </w:pPr>
            <w:r>
              <w:rPr>
                <w:b/>
              </w:rPr>
              <w:t>Современное состояние</w:t>
            </w:r>
          </w:p>
        </w:tc>
        <w:tc>
          <w:tcPr>
            <w:tcW w:w="822" w:type="pct"/>
            <w:vAlign w:val="center"/>
          </w:tcPr>
          <w:p>
            <w:pPr>
              <w:jc w:val="center"/>
              <w:rPr>
                <w:b/>
              </w:rPr>
            </w:pPr>
            <w:r>
              <w:rPr>
                <w:b/>
              </w:rPr>
              <w:t>Расчётный срок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418" w:type="pct"/>
            <w:vMerge w:val="restart"/>
          </w:tcPr>
          <w:p>
            <w:pPr>
              <w:jc w:val="center"/>
            </w:pPr>
            <w:r>
              <w:t>1</w:t>
            </w:r>
          </w:p>
        </w:tc>
        <w:tc>
          <w:tcPr>
            <w:tcW w:w="2003" w:type="pct"/>
          </w:tcPr>
          <w:p>
            <w:pPr>
              <w:ind w:right="-108"/>
            </w:pPr>
            <w:r>
              <w:t>Потребность в электроэнергии - всего,</w:t>
            </w:r>
          </w:p>
          <w:p>
            <w:r>
              <w:t>в том числе:</w:t>
            </w:r>
          </w:p>
        </w:tc>
        <w:tc>
          <w:tcPr>
            <w:tcW w:w="794" w:type="pct"/>
          </w:tcPr>
          <w:p>
            <w:pPr>
              <w:jc w:val="center"/>
            </w:pPr>
            <w:r>
              <w:t>млн.кВт/</w:t>
            </w:r>
          </w:p>
          <w:p>
            <w:pPr>
              <w:jc w:val="center"/>
            </w:pPr>
            <w:r>
              <w:t>год</w:t>
            </w:r>
          </w:p>
        </w:tc>
        <w:tc>
          <w:tcPr>
            <w:tcW w:w="964" w:type="pct"/>
            <w:vAlign w:val="bottom"/>
          </w:tcPr>
          <w:p>
            <w:pPr>
              <w:jc w:val="center"/>
            </w:pPr>
          </w:p>
        </w:tc>
        <w:tc>
          <w:tcPr>
            <w:tcW w:w="822" w:type="pct"/>
            <w:vAlign w:val="bottom"/>
          </w:tcPr>
          <w:p>
            <w:pPr>
              <w:jc w:val="center"/>
            </w:pPr>
            <w:r>
              <w:t>67,73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pPr>
              <w:jc w:val="center"/>
            </w:pPr>
          </w:p>
        </w:tc>
        <w:tc>
          <w:tcPr>
            <w:tcW w:w="2003" w:type="pct"/>
          </w:tcPr>
          <w:p>
            <w:r>
              <w:t>- на производственные нужды</w:t>
            </w:r>
          </w:p>
        </w:tc>
        <w:tc>
          <w:tcPr>
            <w:tcW w:w="794" w:type="pct"/>
          </w:tcPr>
          <w:p>
            <w:pPr>
              <w:jc w:val="center"/>
            </w:pPr>
            <w:r>
              <w:t>-«-</w:t>
            </w:r>
          </w:p>
        </w:tc>
        <w:tc>
          <w:tcPr>
            <w:tcW w:w="964" w:type="pct"/>
            <w:vAlign w:val="bottom"/>
          </w:tcPr>
          <w:p>
            <w:pPr>
              <w:jc w:val="center"/>
            </w:pPr>
          </w:p>
        </w:tc>
        <w:tc>
          <w:tcPr>
            <w:tcW w:w="822" w:type="pct"/>
            <w:vAlign w:val="bottom"/>
          </w:tcPr>
          <w:p>
            <w:pPr>
              <w:jc w:val="center"/>
            </w:pPr>
            <w:r>
              <w:t>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pPr>
              <w:jc w:val="center"/>
            </w:pPr>
          </w:p>
        </w:tc>
        <w:tc>
          <w:tcPr>
            <w:tcW w:w="2003" w:type="pct"/>
            <w:vMerge w:val="restart"/>
          </w:tcPr>
          <w:p>
            <w:r>
              <w:t>- на коммунально-бытовые</w:t>
            </w:r>
          </w:p>
          <w:p/>
          <w:p/>
          <w:p/>
          <w:p/>
          <w:p/>
          <w:p/>
          <w:p>
            <w:r>
              <w:t>нужды</w:t>
            </w:r>
          </w:p>
        </w:tc>
        <w:tc>
          <w:tcPr>
            <w:tcW w:w="794" w:type="pct"/>
            <w:vMerge w:val="restart"/>
          </w:tcPr>
          <w:p>
            <w:pPr>
              <w:jc w:val="center"/>
            </w:pPr>
            <w:r>
              <w:t>-«-</w:t>
            </w:r>
          </w:p>
        </w:tc>
        <w:tc>
          <w:tcPr>
            <w:tcW w:w="964" w:type="pct"/>
            <w:vMerge w:val="restart"/>
            <w:vAlign w:val="bottom"/>
          </w:tcPr>
          <w:p>
            <w:pPr>
              <w:jc w:val="center"/>
            </w:pPr>
          </w:p>
        </w:tc>
        <w:tc>
          <w:tcPr>
            <w:tcW w:w="822" w:type="pct"/>
            <w:vAlign w:val="bottom"/>
          </w:tcPr>
          <w:p>
            <w:pPr>
              <w:jc w:val="center"/>
            </w:pPr>
            <w:r>
              <w:t>42,37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pPr>
              <w:jc w:val="center"/>
            </w:pPr>
          </w:p>
        </w:tc>
        <w:tc>
          <w:tcPr>
            <w:tcW w:w="2003" w:type="pct"/>
            <w:vMerge w:val="continue"/>
          </w:tcPr>
          <w:p/>
        </w:tc>
        <w:tc>
          <w:tcPr>
            <w:tcW w:w="794" w:type="pct"/>
            <w:vMerge w:val="continue"/>
          </w:tcPr>
          <w:p>
            <w:pPr>
              <w:jc w:val="center"/>
            </w:pPr>
          </w:p>
        </w:tc>
        <w:tc>
          <w:tcPr>
            <w:tcW w:w="964" w:type="pct"/>
            <w:vMerge w:val="continue"/>
            <w:vAlign w:val="bottom"/>
          </w:tcPr>
          <w:p>
            <w:pPr>
              <w:jc w:val="center"/>
            </w:pPr>
          </w:p>
        </w:tc>
        <w:tc>
          <w:tcPr>
            <w:tcW w:w="822" w:type="pct"/>
            <w:vAlign w:val="bottom"/>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pPr>
              <w:jc w:val="center"/>
            </w:pPr>
          </w:p>
        </w:tc>
        <w:tc>
          <w:tcPr>
            <w:tcW w:w="2003" w:type="pct"/>
            <w:vMerge w:val="continue"/>
          </w:tcPr>
          <w:p/>
        </w:tc>
        <w:tc>
          <w:tcPr>
            <w:tcW w:w="794" w:type="pct"/>
            <w:vMerge w:val="continue"/>
          </w:tcPr>
          <w:p>
            <w:pPr>
              <w:jc w:val="center"/>
            </w:pPr>
          </w:p>
        </w:tc>
        <w:tc>
          <w:tcPr>
            <w:tcW w:w="964" w:type="pct"/>
            <w:vMerge w:val="continue"/>
            <w:vAlign w:val="bottom"/>
          </w:tcPr>
          <w:p>
            <w:pPr>
              <w:jc w:val="center"/>
            </w:pPr>
          </w:p>
        </w:tc>
        <w:tc>
          <w:tcPr>
            <w:tcW w:w="822" w:type="pct"/>
            <w:vAlign w:val="bottom"/>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418" w:type="pct"/>
            <w:vMerge w:val="restart"/>
          </w:tcPr>
          <w:p>
            <w:pPr>
              <w:jc w:val="center"/>
            </w:pPr>
            <w:r>
              <w:t>2</w:t>
            </w:r>
          </w:p>
        </w:tc>
        <w:tc>
          <w:tcPr>
            <w:tcW w:w="2003" w:type="pct"/>
          </w:tcPr>
          <w:p>
            <w:r>
              <w:t>Потребление электроэнергии на 1чел. в год, в том числе:</w:t>
            </w:r>
          </w:p>
        </w:tc>
        <w:tc>
          <w:tcPr>
            <w:tcW w:w="794" w:type="pct"/>
          </w:tcPr>
          <w:p>
            <w:pPr>
              <w:jc w:val="center"/>
            </w:pPr>
            <w:r>
              <w:t>кВт.ч</w:t>
            </w:r>
          </w:p>
        </w:tc>
        <w:tc>
          <w:tcPr>
            <w:tcW w:w="964" w:type="pct"/>
            <w:vAlign w:val="bottom"/>
          </w:tcPr>
          <w:p>
            <w:pPr>
              <w:jc w:val="center"/>
            </w:pPr>
          </w:p>
        </w:tc>
        <w:tc>
          <w:tcPr>
            <w:tcW w:w="822" w:type="pct"/>
            <w:vAlign w:val="bottom"/>
          </w:tcPr>
          <w:p>
            <w:pPr>
              <w:jc w:val="center"/>
            </w:pPr>
            <w:r>
              <w:t>3762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418" w:type="pct"/>
            <w:vMerge w:val="continue"/>
          </w:tcPr>
          <w:p>
            <w:pPr>
              <w:jc w:val="center"/>
            </w:pPr>
          </w:p>
        </w:tc>
        <w:tc>
          <w:tcPr>
            <w:tcW w:w="2003" w:type="pct"/>
          </w:tcPr>
          <w:p>
            <w:r>
              <w:t>- на коммунально-бытовые нужды</w:t>
            </w:r>
          </w:p>
        </w:tc>
        <w:tc>
          <w:tcPr>
            <w:tcW w:w="794" w:type="pct"/>
          </w:tcPr>
          <w:p>
            <w:pPr>
              <w:jc w:val="center"/>
            </w:pPr>
            <w:r>
              <w:t>-«-</w:t>
            </w:r>
          </w:p>
        </w:tc>
        <w:tc>
          <w:tcPr>
            <w:tcW w:w="964" w:type="pct"/>
            <w:vAlign w:val="bottom"/>
          </w:tcPr>
          <w:p>
            <w:pPr>
              <w:jc w:val="center"/>
            </w:pPr>
          </w:p>
        </w:tc>
        <w:tc>
          <w:tcPr>
            <w:tcW w:w="822" w:type="pct"/>
            <w:vAlign w:val="bottom"/>
          </w:tcPr>
          <w:p>
            <w:pPr>
              <w:jc w:val="center"/>
            </w:pPr>
            <w:r>
              <w:t>23,57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8" w:type="pct"/>
          </w:tcPr>
          <w:p>
            <w:pPr>
              <w:jc w:val="center"/>
            </w:pPr>
            <w:r>
              <w:t>3</w:t>
            </w:r>
          </w:p>
        </w:tc>
        <w:tc>
          <w:tcPr>
            <w:tcW w:w="2003" w:type="pct"/>
          </w:tcPr>
          <w:p>
            <w:r>
              <w:t>Источники покрытия электронагрузок</w:t>
            </w:r>
          </w:p>
        </w:tc>
        <w:tc>
          <w:tcPr>
            <w:tcW w:w="794" w:type="pct"/>
          </w:tcPr>
          <w:p>
            <w:pPr>
              <w:jc w:val="center"/>
            </w:pPr>
            <w:r>
              <w:t>МВт</w:t>
            </w:r>
          </w:p>
        </w:tc>
        <w:tc>
          <w:tcPr>
            <w:tcW w:w="964" w:type="pct"/>
            <w:vAlign w:val="bottom"/>
          </w:tcPr>
          <w:p>
            <w:pPr>
              <w:jc w:val="center"/>
            </w:pPr>
          </w:p>
        </w:tc>
        <w:tc>
          <w:tcPr>
            <w:tcW w:w="822" w:type="pct"/>
            <w:vAlign w:val="bottom"/>
          </w:tcPr>
          <w:p>
            <w:pPr>
              <w:jc w:val="center"/>
            </w:pPr>
            <w: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restart"/>
          </w:tcPr>
          <w:p>
            <w:pPr>
              <w:jc w:val="center"/>
            </w:pPr>
            <w:r>
              <w:t>4</w:t>
            </w:r>
          </w:p>
        </w:tc>
        <w:tc>
          <w:tcPr>
            <w:tcW w:w="2003" w:type="pct"/>
          </w:tcPr>
          <w:p>
            <w:r>
              <w:t>Протяжённость сетей – всего,</w:t>
            </w:r>
          </w:p>
        </w:tc>
        <w:tc>
          <w:tcPr>
            <w:tcW w:w="794" w:type="pct"/>
          </w:tcPr>
          <w:p>
            <w:pPr>
              <w:jc w:val="center"/>
            </w:pPr>
            <w:r>
              <w:t>км</w:t>
            </w:r>
          </w:p>
        </w:tc>
        <w:tc>
          <w:tcPr>
            <w:tcW w:w="964" w:type="pct"/>
            <w:vAlign w:val="bottom"/>
          </w:tcPr>
          <w:p>
            <w:pPr>
              <w:jc w:val="center"/>
            </w:pPr>
            <w:r>
              <w:t>29</w:t>
            </w:r>
          </w:p>
        </w:tc>
        <w:tc>
          <w:tcPr>
            <w:tcW w:w="822" w:type="pct"/>
            <w:vAlign w:val="bottom"/>
          </w:tcPr>
          <w:p>
            <w:pPr>
              <w:jc w:val="center"/>
            </w:pPr>
            <w:r>
              <w:t>135,2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tc>
        <w:tc>
          <w:tcPr>
            <w:tcW w:w="2003" w:type="pct"/>
          </w:tcPr>
          <w:p>
            <w:r>
              <w:t>в том числе:   - сети 10кВ</w:t>
            </w:r>
          </w:p>
        </w:tc>
        <w:tc>
          <w:tcPr>
            <w:tcW w:w="794" w:type="pct"/>
          </w:tcPr>
          <w:p>
            <w:pPr>
              <w:jc w:val="center"/>
            </w:pPr>
            <w:r>
              <w:t>км</w:t>
            </w:r>
          </w:p>
        </w:tc>
        <w:tc>
          <w:tcPr>
            <w:tcW w:w="964" w:type="pct"/>
            <w:vAlign w:val="bottom"/>
          </w:tcPr>
          <w:p>
            <w:pPr>
              <w:jc w:val="center"/>
            </w:pPr>
            <w:r>
              <w:t>15</w:t>
            </w:r>
          </w:p>
        </w:tc>
        <w:tc>
          <w:tcPr>
            <w:tcW w:w="822" w:type="pct"/>
            <w:vAlign w:val="bottom"/>
          </w:tcPr>
          <w:p>
            <w:pPr>
              <w:jc w:val="center"/>
            </w:pPr>
            <w: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rPr>
        <w:tc>
          <w:tcPr>
            <w:tcW w:w="418" w:type="pct"/>
            <w:vMerge w:val="continue"/>
          </w:tcPr>
          <w:p/>
        </w:tc>
        <w:tc>
          <w:tcPr>
            <w:tcW w:w="2003" w:type="pct"/>
          </w:tcPr>
          <w:p>
            <w:r>
              <w:t xml:space="preserve">                        - сети 35-110кВ</w:t>
            </w:r>
          </w:p>
        </w:tc>
        <w:tc>
          <w:tcPr>
            <w:tcW w:w="794" w:type="pct"/>
          </w:tcPr>
          <w:p>
            <w:pPr>
              <w:jc w:val="center"/>
            </w:pPr>
            <w:r>
              <w:t>км</w:t>
            </w:r>
          </w:p>
        </w:tc>
        <w:tc>
          <w:tcPr>
            <w:tcW w:w="964" w:type="pct"/>
            <w:vAlign w:val="bottom"/>
          </w:tcPr>
          <w:p>
            <w:pPr>
              <w:jc w:val="center"/>
            </w:pPr>
            <w:r>
              <w:t>14</w:t>
            </w:r>
          </w:p>
        </w:tc>
        <w:tc>
          <w:tcPr>
            <w:tcW w:w="822" w:type="pct"/>
            <w:vAlign w:val="bottom"/>
          </w:tcPr>
          <w:p>
            <w:pPr>
              <w:jc w:val="center"/>
            </w:pPr>
            <w:r>
              <w:t>104</w:t>
            </w:r>
          </w:p>
        </w:tc>
      </w:tr>
    </w:tbl>
    <w:p>
      <w:pPr>
        <w:pStyle w:val="4"/>
        <w:keepNext w:val="0"/>
        <w:keepLines w:val="0"/>
        <w:numPr>
          <w:ilvl w:val="2"/>
          <w:numId w:val="36"/>
        </w:numPr>
        <w:spacing w:before="360" w:after="120" w:line="360" w:lineRule="auto"/>
        <w:ind w:left="0" w:firstLine="0"/>
        <w:jc w:val="center"/>
        <w:rPr>
          <w:rFonts w:ascii="Times New Roman" w:hAnsi="Times New Roman"/>
          <w:color w:val="auto"/>
          <w:sz w:val="28"/>
          <w:szCs w:val="28"/>
        </w:rPr>
      </w:pPr>
      <w:bookmarkStart w:id="153" w:name="_Toc57203221"/>
      <w:bookmarkStart w:id="154" w:name="_Toc353973243"/>
      <w:bookmarkStart w:id="155" w:name="_Toc247965282"/>
      <w:bookmarkStart w:id="156" w:name="_Toc268263650"/>
      <w:r>
        <w:rPr>
          <w:rFonts w:ascii="Times New Roman" w:hAnsi="Times New Roman"/>
          <w:color w:val="auto"/>
          <w:sz w:val="28"/>
          <w:szCs w:val="28"/>
        </w:rPr>
        <w:t>Связь, радиовещание, телевидение</w:t>
      </w:r>
      <w:bookmarkEnd w:id="153"/>
      <w:bookmarkEnd w:id="154"/>
    </w:p>
    <w:bookmarkEnd w:id="106"/>
    <w:bookmarkEnd w:id="107"/>
    <w:bookmarkEnd w:id="108"/>
    <w:bookmarkEnd w:id="155"/>
    <w:bookmarkEnd w:id="156"/>
    <w:p>
      <w:pPr>
        <w:spacing w:line="240" w:lineRule="auto"/>
        <w:jc w:val="center"/>
        <w:rPr>
          <w:b/>
          <w:bCs/>
        </w:rPr>
      </w:pPr>
      <w:bookmarkStart w:id="157" w:name="_Toc342472329"/>
      <w:r>
        <w:rPr>
          <w:b/>
          <w:bCs/>
        </w:rPr>
        <w:t>Связь</w:t>
      </w:r>
    </w:p>
    <w:p>
      <w:pPr>
        <w:pStyle w:val="147"/>
        <w:keepLines/>
        <w:suppressAutoHyphens/>
        <w:spacing w:after="0" w:line="360" w:lineRule="auto"/>
        <w:ind w:left="0" w:firstLine="851"/>
        <w:jc w:val="both"/>
      </w:pPr>
      <w:r>
        <w:t>В селе Ейское Укрепление в настоящее время имеется квазиэлектронная АТС типа «КВАНТ-Е» монтированной емкостью 512NN, расположенная по ул.2-я Пятилетка,11.</w:t>
      </w:r>
    </w:p>
    <w:p>
      <w:pPr>
        <w:pStyle w:val="147"/>
        <w:keepLines/>
        <w:suppressAutoHyphens/>
        <w:spacing w:after="0" w:line="360" w:lineRule="auto"/>
        <w:ind w:left="0" w:firstLine="851"/>
        <w:jc w:val="both"/>
      </w:pPr>
      <w:r>
        <w:t>Расчетная емкость АТС, необходимая для телефонизации села Ейское Укрепление на расчетный срок до 2040 г., определяется по нормам телефонной плотности НП.2.008-6-85.</w:t>
      </w:r>
    </w:p>
    <w:p>
      <w:pPr>
        <w:pStyle w:val="147"/>
        <w:keepLines/>
        <w:suppressAutoHyphens/>
        <w:spacing w:after="0" w:line="360" w:lineRule="auto"/>
        <w:ind w:left="0" w:firstLine="851"/>
        <w:jc w:val="both"/>
      </w:pPr>
      <w:r>
        <w:t>Расчеты основываются на следующих положениях:</w:t>
      </w:r>
    </w:p>
    <w:p>
      <w:pPr>
        <w:pStyle w:val="147"/>
        <w:numPr>
          <w:ilvl w:val="0"/>
          <w:numId w:val="37"/>
        </w:numPr>
        <w:suppressAutoHyphens/>
        <w:spacing w:after="0" w:line="360" w:lineRule="auto"/>
        <w:jc w:val="both"/>
      </w:pPr>
      <w:r>
        <w:t>Каждой семье обеспечить установку телефона.</w:t>
      </w:r>
    </w:p>
    <w:p>
      <w:pPr>
        <w:pStyle w:val="147"/>
        <w:numPr>
          <w:ilvl w:val="0"/>
          <w:numId w:val="37"/>
        </w:numPr>
        <w:suppressAutoHyphens/>
        <w:spacing w:after="0" w:line="360" w:lineRule="auto"/>
        <w:jc w:val="both"/>
      </w:pPr>
      <w:r>
        <w:t>Количество телефонов для хозяйственного сектора по отдельным группам потребителей на 1000 человек, работающих должно составлять:</w:t>
      </w:r>
    </w:p>
    <w:p>
      <w:pPr>
        <w:pStyle w:val="147"/>
        <w:numPr>
          <w:ilvl w:val="0"/>
          <w:numId w:val="25"/>
        </w:numPr>
        <w:suppressAutoHyphens/>
        <w:spacing w:after="0" w:line="360" w:lineRule="auto"/>
        <w:jc w:val="both"/>
      </w:pPr>
      <w:r>
        <w:t>промышленность, транспорт, строительство    -   210 тлф.;</w:t>
      </w:r>
    </w:p>
    <w:p>
      <w:pPr>
        <w:pStyle w:val="147"/>
        <w:numPr>
          <w:ilvl w:val="0"/>
          <w:numId w:val="25"/>
        </w:numPr>
        <w:suppressAutoHyphens/>
        <w:spacing w:after="0" w:line="360" w:lineRule="auto"/>
        <w:jc w:val="both"/>
      </w:pPr>
      <w:r>
        <w:t>торговля                                                                -   270 тлф.;</w:t>
      </w:r>
    </w:p>
    <w:p>
      <w:pPr>
        <w:pStyle w:val="147"/>
        <w:numPr>
          <w:ilvl w:val="0"/>
          <w:numId w:val="25"/>
        </w:numPr>
        <w:suppressAutoHyphens/>
        <w:spacing w:after="0" w:line="360" w:lineRule="auto"/>
        <w:jc w:val="both"/>
      </w:pPr>
      <w:r>
        <w:t>наука и образование                                            -   710 тлф.;</w:t>
      </w:r>
    </w:p>
    <w:p>
      <w:pPr>
        <w:pStyle w:val="147"/>
        <w:numPr>
          <w:ilvl w:val="0"/>
          <w:numId w:val="25"/>
        </w:numPr>
        <w:suppressAutoHyphens/>
        <w:spacing w:after="0" w:line="360" w:lineRule="auto"/>
        <w:jc w:val="both"/>
      </w:pPr>
      <w:r>
        <w:t>здравоохранение                                                  -   580 тлф.;</w:t>
      </w:r>
    </w:p>
    <w:p>
      <w:pPr>
        <w:pStyle w:val="147"/>
        <w:numPr>
          <w:ilvl w:val="0"/>
          <w:numId w:val="25"/>
        </w:numPr>
        <w:suppressAutoHyphens/>
        <w:spacing w:after="0" w:line="360" w:lineRule="auto"/>
        <w:jc w:val="both"/>
      </w:pPr>
      <w:r>
        <w:t>управление                                                            -  1000 тлф.</w:t>
      </w:r>
    </w:p>
    <w:p>
      <w:pPr>
        <w:pStyle w:val="147"/>
        <w:keepLines/>
        <w:suppressAutoHyphens/>
        <w:spacing w:after="0" w:line="360" w:lineRule="auto"/>
        <w:ind w:left="0" w:firstLine="851"/>
        <w:jc w:val="both"/>
      </w:pPr>
      <w:r>
        <w:t>Работающее (самодеятельное) население сельских населенных пунктов по отдельным группам народного хозяйства распределяется на перспективу в следующем соотношении:</w:t>
      </w:r>
    </w:p>
    <w:p>
      <w:pPr>
        <w:pStyle w:val="147"/>
        <w:numPr>
          <w:ilvl w:val="0"/>
          <w:numId w:val="25"/>
        </w:numPr>
        <w:suppressAutoHyphens/>
        <w:spacing w:after="0" w:line="360" w:lineRule="auto"/>
        <w:jc w:val="both"/>
      </w:pPr>
      <w:r>
        <w:t>промышленность, транспорт, связь, строительство - 76%;</w:t>
      </w:r>
    </w:p>
    <w:p>
      <w:pPr>
        <w:pStyle w:val="147"/>
        <w:numPr>
          <w:ilvl w:val="0"/>
          <w:numId w:val="25"/>
        </w:numPr>
        <w:suppressAutoHyphens/>
        <w:spacing w:after="0" w:line="360" w:lineRule="auto"/>
        <w:jc w:val="both"/>
      </w:pPr>
      <w:r>
        <w:t>торговля - 12%;</w:t>
      </w:r>
    </w:p>
    <w:p>
      <w:pPr>
        <w:pStyle w:val="147"/>
        <w:numPr>
          <w:ilvl w:val="0"/>
          <w:numId w:val="25"/>
        </w:numPr>
        <w:suppressAutoHyphens/>
        <w:spacing w:after="0" w:line="360" w:lineRule="auto"/>
        <w:jc w:val="both"/>
      </w:pPr>
      <w:r>
        <w:t>образование и наука - 6%;</w:t>
      </w:r>
    </w:p>
    <w:p>
      <w:pPr>
        <w:pStyle w:val="147"/>
        <w:numPr>
          <w:ilvl w:val="0"/>
          <w:numId w:val="25"/>
        </w:numPr>
        <w:suppressAutoHyphens/>
        <w:spacing w:after="0" w:line="360" w:lineRule="auto"/>
        <w:jc w:val="both"/>
      </w:pPr>
      <w:r>
        <w:t>здравоохранение - 4%;</w:t>
      </w:r>
    </w:p>
    <w:p>
      <w:pPr>
        <w:pStyle w:val="147"/>
        <w:numPr>
          <w:ilvl w:val="0"/>
          <w:numId w:val="25"/>
        </w:numPr>
        <w:suppressAutoHyphens/>
        <w:spacing w:after="0" w:line="360" w:lineRule="auto"/>
        <w:jc w:val="both"/>
      </w:pPr>
      <w:r>
        <w:t>управление - 2%.</w:t>
      </w:r>
    </w:p>
    <w:p>
      <w:pPr>
        <w:pStyle w:val="147"/>
        <w:keepLines/>
        <w:suppressAutoHyphens/>
        <w:spacing w:after="0" w:line="360" w:lineRule="auto"/>
        <w:ind w:left="0" w:firstLine="851"/>
        <w:jc w:val="both"/>
      </w:pPr>
      <w:r>
        <w:t>Потребности хозяйственного сектора в телефонной связи на 1000 человек, работающих составит:</w:t>
      </w:r>
    </w:p>
    <w:p>
      <w:pPr>
        <w:pStyle w:val="147"/>
        <w:numPr>
          <w:ilvl w:val="0"/>
          <w:numId w:val="25"/>
        </w:numPr>
        <w:suppressAutoHyphens/>
        <w:spacing w:after="0" w:line="360" w:lineRule="auto"/>
        <w:jc w:val="both"/>
      </w:pPr>
      <w:r>
        <w:t>210</w:t>
      </w:r>
      <w:r>
        <w:rPr/>
        <w:sym w:font="Symbol" w:char="F0B4"/>
      </w:r>
      <w:r>
        <w:t>0.76+270</w:t>
      </w:r>
      <w:r>
        <w:rPr/>
        <w:sym w:font="Symbol" w:char="F0B4"/>
      </w:r>
      <w:r>
        <w:t>0.12+710</w:t>
      </w:r>
      <w:r>
        <w:rPr/>
        <w:sym w:font="Symbol" w:char="F0B4"/>
      </w:r>
      <w:r>
        <w:t>0.06+580</w:t>
      </w:r>
      <w:r>
        <w:rPr/>
        <w:sym w:font="Symbol" w:char="F0B4"/>
      </w:r>
      <w:r>
        <w:t>0.04+1000</w:t>
      </w:r>
      <w:r>
        <w:rPr/>
        <w:sym w:font="Symbol" w:char="F0B4"/>
      </w:r>
      <w:r>
        <w:t>0.02=278 тлф.</w:t>
      </w:r>
    </w:p>
    <w:p>
      <w:pPr>
        <w:pStyle w:val="147"/>
        <w:keepLines/>
        <w:suppressAutoHyphens/>
        <w:spacing w:after="0" w:line="360" w:lineRule="auto"/>
        <w:ind w:left="0" w:firstLine="851"/>
        <w:jc w:val="both"/>
      </w:pPr>
      <w:r>
        <w:t>Эта норма, пересчитанная на 1000 человек населения, будет составлять:</w:t>
      </w:r>
    </w:p>
    <w:p>
      <w:pPr>
        <w:pStyle w:val="147"/>
        <w:numPr>
          <w:ilvl w:val="0"/>
          <w:numId w:val="25"/>
        </w:numPr>
        <w:suppressAutoHyphens/>
        <w:spacing w:after="0" w:line="360" w:lineRule="auto"/>
        <w:jc w:val="both"/>
      </w:pPr>
      <w:r>
        <w:t>279</w:t>
      </w:r>
      <w:r>
        <w:rPr/>
        <w:sym w:font="Symbol" w:char="F0B4"/>
      </w:r>
      <w:r>
        <w:t>0.55=153 тлф.</w:t>
      </w:r>
    </w:p>
    <w:p>
      <w:pPr>
        <w:pStyle w:val="147"/>
        <w:keepLines/>
        <w:suppressAutoHyphens/>
        <w:spacing w:after="0" w:line="360" w:lineRule="auto"/>
        <w:ind w:left="0" w:firstLine="851"/>
        <w:jc w:val="both"/>
      </w:pPr>
      <w:r>
        <w:t>Согласно произведенным расчетам количество телефонов в пересчете на 1000 человек населения составит:</w:t>
      </w:r>
    </w:p>
    <w:p>
      <w:pPr>
        <w:pStyle w:val="147"/>
        <w:numPr>
          <w:ilvl w:val="0"/>
          <w:numId w:val="25"/>
        </w:numPr>
        <w:suppressAutoHyphens/>
        <w:spacing w:after="0" w:line="360" w:lineRule="auto"/>
        <w:jc w:val="both"/>
      </w:pPr>
      <w:r>
        <w:t>для сектора хозяйственной деятельности - 153 тлф.;</w:t>
      </w:r>
    </w:p>
    <w:p>
      <w:pPr>
        <w:pStyle w:val="147"/>
        <w:numPr>
          <w:ilvl w:val="0"/>
          <w:numId w:val="25"/>
        </w:numPr>
        <w:suppressAutoHyphens/>
        <w:spacing w:after="0" w:line="360" w:lineRule="auto"/>
        <w:jc w:val="both"/>
      </w:pPr>
      <w:r>
        <w:t>для квартирного сектора - 330 тлф.</w:t>
      </w:r>
    </w:p>
    <w:p>
      <w:pPr>
        <w:pStyle w:val="147"/>
        <w:keepLines/>
        <w:suppressAutoHyphens/>
        <w:spacing w:after="0" w:line="360" w:lineRule="auto"/>
        <w:ind w:left="0" w:firstLine="851"/>
        <w:jc w:val="both"/>
      </w:pPr>
      <w:r>
        <w:t>Таким образом, на расчетный срок до 2040г. для полного удовлетворения потребности в телефонной связи потребуется 483 телефона на 1000 человек населения.</w:t>
      </w:r>
    </w:p>
    <w:p>
      <w:pPr>
        <w:pStyle w:val="147"/>
        <w:keepLines/>
        <w:suppressAutoHyphens/>
        <w:spacing w:after="0" w:line="360" w:lineRule="auto"/>
        <w:ind w:left="0" w:firstLine="851"/>
        <w:jc w:val="both"/>
      </w:pPr>
      <w:r>
        <w:t>Общее количество телефонов при условии полного удовлетворения потребностей хозяйственной деятельности и населения квартирного сектора в 2040г. при численности населения села равной 2477 человек должно составить:</w:t>
      </w:r>
    </w:p>
    <w:p>
      <w:pPr>
        <w:pStyle w:val="147"/>
        <w:keepLines/>
        <w:suppressAutoHyphens/>
        <w:spacing w:after="0" w:line="360" w:lineRule="auto"/>
        <w:ind w:left="0" w:firstLine="851"/>
        <w:jc w:val="both"/>
      </w:pPr>
      <w:r>
        <w:t>2477</w:t>
      </w:r>
      <w:r>
        <w:rPr/>
        <w:sym w:font="Symbol" w:char="F0B4"/>
      </w:r>
      <w:r>
        <w:t>0.483= 1196 телефона, что потребует расширение действующей АТС  до емкости 1174 номера.</w:t>
      </w:r>
    </w:p>
    <w:p>
      <w:pPr>
        <w:pStyle w:val="147"/>
        <w:keepLines/>
        <w:suppressAutoHyphens/>
        <w:spacing w:after="0" w:line="360" w:lineRule="auto"/>
        <w:ind w:left="0" w:firstLine="851"/>
        <w:jc w:val="both"/>
      </w:pPr>
      <w:r>
        <w:t xml:space="preserve">Учитывая полученные расчеты, проектом генерального плана на расчетный срок до 2040 года предусматривается: </w:t>
      </w:r>
    </w:p>
    <w:p>
      <w:pPr>
        <w:pStyle w:val="147"/>
        <w:numPr>
          <w:ilvl w:val="0"/>
          <w:numId w:val="25"/>
        </w:numPr>
        <w:suppressAutoHyphens/>
        <w:spacing w:after="0" w:line="360" w:lineRule="auto"/>
        <w:jc w:val="both"/>
      </w:pPr>
      <w:r>
        <w:t>демонтировать существующую АТС «КВАНТ-Е» и на освободившихся площадях выполнить размещение цифрового универсального узла доступа системы NGN (Next Generation Networks). В качестве аппаратной платформы для узла доступа предлагается использовать оборудование Si 2000 MSAN (широкополосный доступ), Si 2000 CallServer &amp; iCS (управление вызовами), Si 2000 Application Server (сетевые услуги). Емкость узла доступа согласно расчетам, должна быть 1174 порта;</w:t>
      </w:r>
    </w:p>
    <w:p>
      <w:pPr>
        <w:pStyle w:val="147"/>
        <w:numPr>
          <w:ilvl w:val="0"/>
          <w:numId w:val="25"/>
        </w:numPr>
        <w:suppressAutoHyphens/>
        <w:spacing w:after="0" w:line="360" w:lineRule="auto"/>
        <w:jc w:val="both"/>
      </w:pPr>
      <w:r>
        <w:t>построить волоконно-оптическую линию связи (ВОЛС) на участке от районной АТС (ст. Щербиновская) до помещения узла доступа в с. Ейское Укрепление. Трасса прохождения ВОЛС определяется на последующих этапах проектирования;</w:t>
      </w:r>
    </w:p>
    <w:p>
      <w:pPr>
        <w:pStyle w:val="147"/>
        <w:numPr>
          <w:ilvl w:val="0"/>
          <w:numId w:val="25"/>
        </w:numPr>
        <w:suppressAutoHyphens/>
        <w:spacing w:after="0" w:line="360" w:lineRule="auto"/>
        <w:jc w:val="both"/>
      </w:pPr>
      <w:r>
        <w:t>построить магистральную телефонную сеть села с устройством шкафных районов в зоне существующей и проектируемой застройки Магистральная сеть прокладывается в телефонной канализации из, а/ц труб диаметром 100 мм кабелем ТППэЦ различной емкости. Смотровые устройства предусматреть железобетонные типа ККС-2, ККС-3 и ККС-4.</w:t>
      </w:r>
    </w:p>
    <w:p>
      <w:pPr>
        <w:pStyle w:val="147"/>
        <w:keepLines/>
        <w:suppressAutoHyphens/>
        <w:spacing w:after="0" w:line="360" w:lineRule="auto"/>
        <w:ind w:left="0" w:firstLine="851"/>
        <w:jc w:val="both"/>
      </w:pPr>
      <w:r>
        <w:t>Телефонная сеть на участке от распределительного шкафа до жилого дома выполняется по техническим условиям оператора связи за счет средств застройщиков.</w:t>
      </w:r>
    </w:p>
    <w:p>
      <w:pPr>
        <w:pStyle w:val="147"/>
        <w:keepLines/>
        <w:suppressAutoHyphens/>
        <w:spacing w:after="0" w:line="360" w:lineRule="auto"/>
        <w:ind w:left="0" w:firstLine="851"/>
        <w:jc w:val="both"/>
      </w:pPr>
      <w:r>
        <w:t>Для реализации проектных решений по развитию средств связи рекомендуется использовать экономические основы президентской программы «Российский народный телефон», предусматривающей добровольное участие населения частного сектора в развитии и модернизации местных сетей связи, являющихся наиболее инвестиционно емкими частями телефонной сети общего пользования.</w:t>
      </w:r>
    </w:p>
    <w:p>
      <w:pPr>
        <w:pStyle w:val="147"/>
        <w:keepLines/>
        <w:suppressAutoHyphens/>
        <w:spacing w:after="0" w:line="360" w:lineRule="auto"/>
        <w:ind w:left="0" w:firstLine="851"/>
        <w:jc w:val="both"/>
      </w:pPr>
      <w:r>
        <w:t>В качестве рекомендации при строительстве магистральных сетей для отдельных групп компактно проживающих абонентов предлагается технология FTTH (оптическое волокно в дом) в соответствии с протоколом GEPON (гигабитные пассивные оптические сети), что позволит удовлетворить потребности в пропускной способности для всех видов IP-трафика абонентов села Ейское Укрепление Ейскоукрепленского сельского поселения.</w:t>
      </w:r>
    </w:p>
    <w:p>
      <w:pPr>
        <w:pStyle w:val="147"/>
        <w:keepLines/>
        <w:suppressAutoHyphens/>
        <w:spacing w:after="0" w:line="360" w:lineRule="auto"/>
        <w:ind w:left="0" w:firstLine="851"/>
        <w:jc w:val="both"/>
      </w:pPr>
    </w:p>
    <w:p>
      <w:pPr>
        <w:spacing w:line="240" w:lineRule="auto"/>
        <w:jc w:val="center"/>
      </w:pPr>
      <w:r>
        <w:rPr>
          <w:b/>
          <w:bCs/>
        </w:rPr>
        <w:t>Радиовещание</w:t>
      </w:r>
    </w:p>
    <w:p>
      <w:pPr>
        <w:pStyle w:val="147"/>
        <w:keepLines/>
        <w:suppressAutoHyphens/>
        <w:spacing w:after="0" w:line="360" w:lineRule="auto"/>
        <w:ind w:left="0" w:firstLine="851"/>
        <w:jc w:val="both"/>
      </w:pPr>
      <w:r>
        <w:t>В настоящее время в селе Ейское Укрепление имеется местный радиоузел мощностью 1кВт 1982 года постройки. Учитывая моральный и технический износ оборудования радиоузла, а также большие затраты по обслуживанию проводной радиосети, проектом генерального плана для радиофикации села Ейское Укрепление предусматривается система многопрограммного радиовещания в метровом диапазоне с частотной модуляцией (УКВ-ЧМ). В основу этой системы положен принцип передачи трех независимых монофонических звуковых программ с помощью стандартных вещательных передатчиков в диапазоне частот 65,8-74 и 87,5-108 МГц на одной несущей частоте. В комплектацию системы входят:</w:t>
      </w:r>
    </w:p>
    <w:p>
      <w:pPr>
        <w:pStyle w:val="147"/>
        <w:numPr>
          <w:ilvl w:val="0"/>
          <w:numId w:val="25"/>
        </w:numPr>
        <w:suppressAutoHyphens/>
        <w:spacing w:after="0" w:line="360" w:lineRule="auto"/>
        <w:jc w:val="both"/>
      </w:pPr>
      <w:r>
        <w:t>передатчик;</w:t>
      </w:r>
    </w:p>
    <w:p>
      <w:pPr>
        <w:pStyle w:val="147"/>
        <w:numPr>
          <w:ilvl w:val="0"/>
          <w:numId w:val="25"/>
        </w:numPr>
        <w:suppressAutoHyphens/>
        <w:spacing w:after="0" w:line="360" w:lineRule="auto"/>
        <w:jc w:val="both"/>
      </w:pPr>
      <w:r>
        <w:t>трехпрограммный кодер;</w:t>
      </w:r>
    </w:p>
    <w:p>
      <w:pPr>
        <w:pStyle w:val="147"/>
        <w:numPr>
          <w:ilvl w:val="0"/>
          <w:numId w:val="25"/>
        </w:numPr>
        <w:suppressAutoHyphens/>
        <w:spacing w:after="0" w:line="360" w:lineRule="auto"/>
        <w:jc w:val="both"/>
      </w:pPr>
      <w:r>
        <w:t>абонентские трехпрограммные приемники.</w:t>
      </w:r>
    </w:p>
    <w:p>
      <w:pPr>
        <w:pStyle w:val="147"/>
        <w:keepLines/>
        <w:suppressAutoHyphens/>
        <w:spacing w:after="0" w:line="360" w:lineRule="auto"/>
        <w:ind w:left="0" w:firstLine="851"/>
        <w:jc w:val="both"/>
      </w:pPr>
      <w:r>
        <w:t>Трехпрограммные сигналы могут быть приняты на типовые УКВ-ЧМ приемники, оборудованные специальными декодерами для сигналов однопрограммного и трехпрограммного вещания. Приемники можно устанавливать, как в частных домах, так и в многоквартирных жилых домах.</w:t>
      </w:r>
    </w:p>
    <w:p>
      <w:pPr>
        <w:pStyle w:val="147"/>
        <w:keepLines/>
        <w:suppressAutoHyphens/>
        <w:spacing w:after="0" w:line="360" w:lineRule="auto"/>
        <w:ind w:left="0" w:firstLine="851"/>
        <w:jc w:val="both"/>
      </w:pPr>
      <w:r>
        <w:t>Для обеспечения радиовещания в селе проектом генерального плана на расчетный срок до 2040г. предлагается выполнить строительство радиоузла с установкой передатчика типа «Октод-FM» мощностью 250 Вт. Помещение для радиоузла предусматривается выделить в реконструируемом здании узла связи.</w:t>
      </w:r>
    </w:p>
    <w:p>
      <w:pPr>
        <w:pStyle w:val="147"/>
        <w:keepLines/>
        <w:suppressAutoHyphens/>
        <w:spacing w:after="0" w:line="360" w:lineRule="auto"/>
        <w:ind w:left="0" w:firstLine="851"/>
        <w:jc w:val="both"/>
      </w:pPr>
    </w:p>
    <w:p>
      <w:pPr>
        <w:spacing w:line="240" w:lineRule="auto"/>
        <w:jc w:val="center"/>
        <w:rPr>
          <w:b/>
          <w:bCs/>
        </w:rPr>
      </w:pPr>
      <w:r>
        <w:rPr>
          <w:b/>
          <w:bCs/>
        </w:rPr>
        <w:t>Телевидение</w:t>
      </w:r>
    </w:p>
    <w:p>
      <w:pPr>
        <w:pStyle w:val="147"/>
        <w:keepLines/>
        <w:suppressAutoHyphens/>
        <w:spacing w:after="0" w:line="360" w:lineRule="auto"/>
        <w:ind w:left="0" w:firstLine="851"/>
        <w:jc w:val="both"/>
      </w:pPr>
      <w:r>
        <w:t>Для развития сети телевизионного вещания предусматривается на базе существующего телевизионного узла обеспечивать передачу новых телевизионных каналов в обычном и цифровом формате.</w:t>
      </w:r>
    </w:p>
    <w:p>
      <w:pPr>
        <w:pStyle w:val="3"/>
        <w:keepLines/>
        <w:numPr>
          <w:ilvl w:val="1"/>
          <w:numId w:val="38"/>
        </w:numPr>
        <w:suppressAutoHyphens/>
        <w:spacing w:before="480" w:after="360" w:line="360" w:lineRule="auto"/>
        <w:ind w:left="0" w:firstLine="0"/>
        <w:jc w:val="center"/>
        <w:rPr>
          <w:rFonts w:ascii="Times New Roman" w:hAnsi="Times New Roman"/>
          <w:i w:val="0"/>
          <w:kern w:val="32"/>
          <w:sz w:val="30"/>
          <w:szCs w:val="30"/>
        </w:rPr>
      </w:pPr>
      <w:bookmarkStart w:id="158" w:name="_Toc57203222"/>
      <w:r>
        <w:rPr>
          <w:rFonts w:ascii="Times New Roman" w:hAnsi="Times New Roman"/>
          <w:i w:val="0"/>
          <w:kern w:val="32"/>
          <w:sz w:val="30"/>
          <w:szCs w:val="30"/>
        </w:rPr>
        <w:t>Инженерная подготовка территории</w:t>
      </w:r>
      <w:bookmarkEnd w:id="157"/>
      <w:bookmarkEnd w:id="158"/>
    </w:p>
    <w:p>
      <w:pPr>
        <w:pStyle w:val="282"/>
        <w:rPr>
          <w:sz w:val="24"/>
        </w:rPr>
      </w:pPr>
      <w:r>
        <w:rPr>
          <w:sz w:val="24"/>
        </w:rPr>
        <w:t>Генеральным планом предусмотрены мероприятия, направленные на повышение благоприятных условий жизнедеятельности человека, на ограничение негативного воздействия хозяйственной и иной деятельности на окружающую среду на территории населенных пунктов по всем направлениям инженерного обеспечения. Мероприятия предусмотрены с учетом существующего состояния объектов инженерной инфраструктуры и с учетом прогноза изменения численности населения.</w:t>
      </w:r>
    </w:p>
    <w:p>
      <w:pPr>
        <w:pStyle w:val="282"/>
        <w:rPr>
          <w:sz w:val="24"/>
        </w:rPr>
      </w:pPr>
      <w:r>
        <w:rPr>
          <w:sz w:val="24"/>
        </w:rPr>
        <w:t xml:space="preserve">Мероприятия по развитию инженерного обеспечения территории Ейскоукрепленского сельского поселения предлагаются на расчетный срок реализации  генерального плана (конец 2040 года). </w:t>
      </w:r>
    </w:p>
    <w:p>
      <w:pPr>
        <w:pStyle w:val="3"/>
        <w:keepNext w:val="0"/>
        <w:numPr>
          <w:ilvl w:val="1"/>
          <w:numId w:val="39"/>
        </w:numPr>
        <w:suppressAutoHyphens/>
        <w:spacing w:before="0" w:after="120" w:line="360" w:lineRule="auto"/>
        <w:ind w:left="0" w:firstLine="0"/>
        <w:jc w:val="center"/>
        <w:rPr>
          <w:rFonts w:ascii="Times New Roman" w:hAnsi="Times New Roman"/>
          <w:i w:val="0"/>
          <w:sz w:val="30"/>
          <w:szCs w:val="30"/>
        </w:rPr>
      </w:pPr>
      <w:bookmarkStart w:id="159" w:name="_Toc247965283"/>
      <w:bookmarkStart w:id="160" w:name="_Toc57203223"/>
      <w:bookmarkStart w:id="161" w:name="_Toc268263651"/>
      <w:bookmarkStart w:id="162" w:name="_Toc342472330"/>
      <w:r>
        <w:rPr>
          <w:rFonts w:ascii="Times New Roman" w:hAnsi="Times New Roman"/>
          <w:i w:val="0"/>
          <w:sz w:val="30"/>
          <w:szCs w:val="30"/>
        </w:rPr>
        <w:t xml:space="preserve">Зеленый фонд </w:t>
      </w:r>
      <w:bookmarkEnd w:id="159"/>
      <w:r>
        <w:rPr>
          <w:rFonts w:ascii="Times New Roman" w:hAnsi="Times New Roman"/>
          <w:i w:val="0"/>
          <w:sz w:val="30"/>
          <w:szCs w:val="30"/>
        </w:rPr>
        <w:t>муниципального образования</w:t>
      </w:r>
      <w:bookmarkEnd w:id="160"/>
      <w:bookmarkEnd w:id="161"/>
      <w:bookmarkEnd w:id="162"/>
    </w:p>
    <w:p>
      <w:pPr>
        <w:pStyle w:val="282"/>
        <w:rPr>
          <w:sz w:val="24"/>
        </w:rPr>
      </w:pPr>
      <w:bookmarkStart w:id="163" w:name="_Toc315701208"/>
      <w:bookmarkEnd w:id="163"/>
      <w:bookmarkStart w:id="164" w:name="_Toc315701205"/>
      <w:bookmarkEnd w:id="164"/>
      <w:bookmarkStart w:id="165" w:name="_Toc315701207"/>
      <w:bookmarkEnd w:id="165"/>
      <w:bookmarkStart w:id="166" w:name="_Toc315701211"/>
      <w:bookmarkEnd w:id="166"/>
      <w:bookmarkStart w:id="167" w:name="_Toc315701209"/>
      <w:bookmarkEnd w:id="167"/>
      <w:bookmarkStart w:id="168" w:name="_Toc315701206"/>
      <w:bookmarkEnd w:id="168"/>
      <w:bookmarkStart w:id="169" w:name="_Toc315701210"/>
      <w:bookmarkEnd w:id="169"/>
      <w:bookmarkStart w:id="170" w:name="_Toc268263652"/>
      <w:bookmarkStart w:id="171" w:name="_Toc342472331"/>
      <w:r>
        <w:rPr>
          <w:sz w:val="24"/>
        </w:rPr>
        <w:t>Создание и эксплуатация элементов благоустройства и озеленения обеспечивают требования охраны здоровья человека, исторической и природной среды, создают технические возможности беспрепятственного передвижения маломобильных групп населения по территории муниципального образования.</w:t>
      </w:r>
    </w:p>
    <w:p>
      <w:pPr>
        <w:pStyle w:val="282"/>
        <w:rPr>
          <w:sz w:val="24"/>
        </w:rPr>
      </w:pPr>
      <w:r>
        <w:rPr>
          <w:sz w:val="24"/>
        </w:rPr>
        <w:t>Общие параметры и минимальное сочетание элементов благоустройства и озеленения для создания безопасной, удобной и привлекательной среды территории муниципального образования рекомендуется устанавливать в соответствии с Приказом Министерства регионального развития Российской Федерации от 27.12.2011 № 613 «Об утверждении методических рекомендаций по разработке норм и правил по благоустройству территорий муниципальных образований» и другими нормативными документами.</w:t>
      </w:r>
    </w:p>
    <w:p>
      <w:pPr>
        <w:pStyle w:val="282"/>
        <w:rPr>
          <w:sz w:val="24"/>
        </w:rPr>
      </w:pPr>
      <w:r>
        <w:rPr>
          <w:sz w:val="24"/>
        </w:rPr>
        <w:t>При строительстве общественно-деловой и жилой застройки решениями генерального плана предлагается произвести благоустройство территории:</w:t>
      </w:r>
    </w:p>
    <w:p>
      <w:pPr>
        <w:pStyle w:val="282"/>
        <w:numPr>
          <w:ilvl w:val="0"/>
          <w:numId w:val="40"/>
        </w:numPr>
        <w:rPr>
          <w:sz w:val="24"/>
        </w:rPr>
      </w:pPr>
      <w:r>
        <w:rPr>
          <w:sz w:val="24"/>
        </w:rPr>
        <w:t>устройство газонов, цветников, посадку зеленых оград;</w:t>
      </w:r>
    </w:p>
    <w:p>
      <w:pPr>
        <w:pStyle w:val="282"/>
        <w:numPr>
          <w:ilvl w:val="0"/>
          <w:numId w:val="40"/>
        </w:numPr>
        <w:rPr>
          <w:sz w:val="24"/>
        </w:rPr>
      </w:pPr>
      <w:r>
        <w:rPr>
          <w:sz w:val="24"/>
        </w:rPr>
        <w:t>оборудование территории малыми архитектурными формами – беседками, навесами, площадками для игр детей и отдыха взрослого населения, павильонами для ожидания автотранспорта;</w:t>
      </w:r>
    </w:p>
    <w:p>
      <w:pPr>
        <w:pStyle w:val="282"/>
        <w:numPr>
          <w:ilvl w:val="0"/>
          <w:numId w:val="40"/>
        </w:numPr>
        <w:rPr>
          <w:sz w:val="24"/>
        </w:rPr>
      </w:pPr>
      <w:r>
        <w:rPr>
          <w:sz w:val="24"/>
        </w:rPr>
        <w:t>устройство внутриквартальных проездов, тротуаров, пешеходных дорожек;</w:t>
      </w:r>
    </w:p>
    <w:p>
      <w:pPr>
        <w:pStyle w:val="282"/>
        <w:numPr>
          <w:ilvl w:val="0"/>
          <w:numId w:val="40"/>
        </w:numPr>
        <w:rPr>
          <w:sz w:val="24"/>
        </w:rPr>
      </w:pPr>
      <w:r>
        <w:rPr>
          <w:sz w:val="24"/>
        </w:rPr>
        <w:t>ремонт существующих покрытий внутридворовых проездов и дорожек;</w:t>
      </w:r>
    </w:p>
    <w:p>
      <w:pPr>
        <w:pStyle w:val="282"/>
        <w:numPr>
          <w:ilvl w:val="0"/>
          <w:numId w:val="40"/>
        </w:numPr>
        <w:rPr>
          <w:sz w:val="24"/>
        </w:rPr>
      </w:pPr>
      <w:r>
        <w:rPr>
          <w:sz w:val="24"/>
        </w:rPr>
        <w:t>освещение территории;</w:t>
      </w:r>
    </w:p>
    <w:p>
      <w:pPr>
        <w:pStyle w:val="282"/>
        <w:numPr>
          <w:ilvl w:val="0"/>
          <w:numId w:val="40"/>
        </w:numPr>
        <w:rPr>
          <w:sz w:val="24"/>
        </w:rPr>
      </w:pPr>
      <w:r>
        <w:rPr>
          <w:sz w:val="24"/>
        </w:rPr>
        <w:t>обустройство мест сбора мусора.</w:t>
      </w:r>
    </w:p>
    <w:p>
      <w:pPr>
        <w:pStyle w:val="282"/>
        <w:rPr>
          <w:sz w:val="24"/>
        </w:rPr>
      </w:pPr>
      <w:r>
        <w:rPr>
          <w:sz w:val="24"/>
        </w:rPr>
        <w:t xml:space="preserve">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Приемы благоустройства и озеленения в зависимости от отраслевой направленности производства рекомендуется применять в соответствии с </w:t>
      </w:r>
      <w:r>
        <w:fldChar w:fldCharType="begin"/>
      </w:r>
      <w:r>
        <w:instrText xml:space="preserve"> HYPERLINK "consultantplus://offline/ref=9992D540927CCC5423DCF74E3DB311551BC7C93F44373F84863E2402E4C5364F3B4A9F496C79C07BQ3i5K" </w:instrText>
      </w:r>
      <w:r>
        <w:fldChar w:fldCharType="separate"/>
      </w:r>
      <w:r>
        <w:rPr>
          <w:sz w:val="24"/>
        </w:rPr>
        <w:t>приложением 6</w:t>
      </w:r>
      <w:r>
        <w:rPr>
          <w:sz w:val="24"/>
        </w:rPr>
        <w:fldChar w:fldCharType="end"/>
      </w:r>
      <w:r>
        <w:rPr>
          <w:sz w:val="24"/>
        </w:rPr>
        <w:t xml:space="preserve"> к «Методическим рекомендациям по разработке норм и правил по благоустройству территорий муниципальных образований» и другими нормативными документами.</w:t>
      </w:r>
    </w:p>
    <w:p>
      <w:pPr>
        <w:pStyle w:val="282"/>
        <w:rPr>
          <w:sz w:val="24"/>
        </w:rPr>
      </w:pPr>
      <w:r>
        <w:rPr>
          <w:sz w:val="24"/>
        </w:rPr>
        <w:t>Главными направлениями озеленения территории сельского поселения являются: создание системы зеленых насаждений, сохранение естественной древесно-кустарниковой растительности.</w:t>
      </w:r>
    </w:p>
    <w:p>
      <w:pPr>
        <w:pStyle w:val="282"/>
        <w:rPr>
          <w:sz w:val="24"/>
        </w:rPr>
      </w:pPr>
      <w:r>
        <w:rPr>
          <w:sz w:val="24"/>
        </w:rPr>
        <w:t>Создание системы зеленых насаждений на селитебной территории является необходимым, так как она улучшает микроклимат, температурно-влажностный режим, очищает воздух от пыли, газов, является шумозащитой жилых и производственных территорий.</w:t>
      </w:r>
    </w:p>
    <w:p>
      <w:pPr>
        <w:pStyle w:val="282"/>
        <w:rPr>
          <w:sz w:val="24"/>
        </w:rPr>
      </w:pPr>
      <w:r>
        <w:rPr>
          <w:sz w:val="24"/>
        </w:rPr>
        <w:t>Для создания системы зеленых насаждений предусмотрены следующие мероприятия по озеленению территории:</w:t>
      </w:r>
    </w:p>
    <w:p>
      <w:pPr>
        <w:pStyle w:val="282"/>
        <w:numPr>
          <w:ilvl w:val="0"/>
          <w:numId w:val="41"/>
        </w:numPr>
        <w:rPr>
          <w:sz w:val="24"/>
        </w:rPr>
      </w:pPr>
      <w:r>
        <w:rPr>
          <w:sz w:val="24"/>
        </w:rPr>
        <w:t>сохранение естественной древесно-кустарниковой растительности;</w:t>
      </w:r>
    </w:p>
    <w:p>
      <w:pPr>
        <w:pStyle w:val="282"/>
        <w:numPr>
          <w:ilvl w:val="0"/>
          <w:numId w:val="41"/>
        </w:numPr>
        <w:rPr>
          <w:sz w:val="24"/>
        </w:rPr>
      </w:pPr>
      <w:r>
        <w:rPr>
          <w:sz w:val="24"/>
        </w:rPr>
        <w:t>целенаправленное формирование крупных насаждений, устойчивых к влиянию антропогенных и техногенных факторов.</w:t>
      </w:r>
    </w:p>
    <w:p>
      <w:pPr>
        <w:pStyle w:val="147"/>
        <w:keepLines/>
        <w:suppressAutoHyphens/>
        <w:spacing w:after="0" w:line="360" w:lineRule="auto"/>
        <w:ind w:left="0" w:firstLine="851"/>
        <w:jc w:val="both"/>
        <w:rPr>
          <w:b/>
        </w:rPr>
      </w:pPr>
      <w:r>
        <w:rPr>
          <w:b/>
        </w:rPr>
        <w:t>На расчетный срок:</w:t>
      </w:r>
    </w:p>
    <w:p>
      <w:pPr>
        <w:pStyle w:val="282"/>
        <w:numPr>
          <w:ilvl w:val="0"/>
          <w:numId w:val="42"/>
        </w:numPr>
        <w:rPr>
          <w:sz w:val="24"/>
        </w:rPr>
      </w:pPr>
      <w:r>
        <w:rPr>
          <w:sz w:val="24"/>
        </w:rPr>
        <w:t>восстановление растительного покрова в местах сильной деградации зеленых насаждений;</w:t>
      </w:r>
    </w:p>
    <w:p>
      <w:pPr>
        <w:pStyle w:val="282"/>
        <w:numPr>
          <w:ilvl w:val="0"/>
          <w:numId w:val="42"/>
        </w:numPr>
        <w:rPr>
          <w:sz w:val="24"/>
        </w:rPr>
      </w:pPr>
      <w:r>
        <w:rPr>
          <w:sz w:val="24"/>
        </w:rPr>
        <w:t>проектирование зеленых полос из пылезадерживающих пород деревьев вдоль автомобильной дороги;</w:t>
      </w:r>
    </w:p>
    <w:p>
      <w:pPr>
        <w:pStyle w:val="282"/>
        <w:numPr>
          <w:ilvl w:val="0"/>
          <w:numId w:val="42"/>
        </w:numPr>
        <w:rPr>
          <w:sz w:val="24"/>
        </w:rPr>
      </w:pPr>
      <w:r>
        <w:rPr>
          <w:sz w:val="24"/>
        </w:rPr>
        <w:t>посадка газонов на площадях, не занятых дорожным покрытием, для предотвращения образования пылящих поверхностей.</w:t>
      </w:r>
    </w:p>
    <w:p>
      <w:pPr>
        <w:pStyle w:val="282"/>
        <w:rPr>
          <w:sz w:val="24"/>
        </w:rPr>
      </w:pPr>
      <w:r>
        <w:rPr>
          <w:sz w:val="24"/>
        </w:rPr>
        <w:t xml:space="preserve"> Система зеленых насаждений населенных пунктов включает:</w:t>
      </w:r>
    </w:p>
    <w:p>
      <w:pPr>
        <w:pStyle w:val="282"/>
        <w:numPr>
          <w:ilvl w:val="0"/>
          <w:numId w:val="43"/>
        </w:numPr>
        <w:rPr>
          <w:sz w:val="24"/>
        </w:rPr>
      </w:pPr>
      <w:r>
        <w:rPr>
          <w:sz w:val="24"/>
        </w:rPr>
        <w:t xml:space="preserve">озелененные территории общего пользования; </w:t>
      </w:r>
      <w:r>
        <w:rPr>
          <w:sz w:val="24"/>
        </w:rPr>
        <w:tab/>
      </w:r>
    </w:p>
    <w:p>
      <w:pPr>
        <w:pStyle w:val="282"/>
        <w:numPr>
          <w:ilvl w:val="0"/>
          <w:numId w:val="43"/>
        </w:numPr>
        <w:rPr>
          <w:sz w:val="24"/>
        </w:rPr>
      </w:pPr>
      <w:r>
        <w:rPr>
          <w:sz w:val="24"/>
        </w:rPr>
        <w:t>озелененные территории ограниченного пользования (зеленые насаждения на участках жилых массивов, учреждений здравоохранения, промышленных предприятий, пришкольных участков, детских садов);</w:t>
      </w:r>
    </w:p>
    <w:p>
      <w:pPr>
        <w:pStyle w:val="282"/>
        <w:numPr>
          <w:ilvl w:val="0"/>
          <w:numId w:val="43"/>
        </w:numPr>
        <w:rPr>
          <w:sz w:val="24"/>
        </w:rPr>
      </w:pPr>
      <w:r>
        <w:rPr>
          <w:sz w:val="24"/>
        </w:rPr>
        <w:t>озелененные территории специального назначения (озеленение санитарно-защитных зон, территорий вдоль дорог).</w:t>
      </w:r>
    </w:p>
    <w:p>
      <w:pPr>
        <w:pStyle w:val="282"/>
        <w:rPr>
          <w:sz w:val="24"/>
        </w:rPr>
      </w:pPr>
      <w:r>
        <w:rPr>
          <w:sz w:val="24"/>
        </w:rPr>
        <w:t>В целях создания непрерывной системы зеленых насаждений предлагается все малые зеленые устройства соединить газонами и цветниками, которые следует создавать на всех свободных от покрытий участках. Ассортимент деревьев и кустарников определяется с учетом условий их произрастания, функционального назначения зоны и с целью улучшения декоративной направленности.</w:t>
      </w:r>
    </w:p>
    <w:p>
      <w:pPr>
        <w:pStyle w:val="282"/>
        <w:rPr>
          <w:sz w:val="24"/>
        </w:rPr>
      </w:pPr>
      <w:r>
        <w:rPr>
          <w:sz w:val="24"/>
        </w:rPr>
        <w:t xml:space="preserve">В соответствии с СП 42.13330.2016 Градостроительство. Планировка и застройка городских и сельских поселений. Актуализированная редакция СНиП 2.07.01-89* (с Изменениями № 1, 2) площадь озелененных территорий общего пользования для сельских поселений должна быть 12 кв. м/чел. </w:t>
      </w:r>
    </w:p>
    <w:p>
      <w:pPr>
        <w:pStyle w:val="282"/>
        <w:rPr>
          <w:sz w:val="24"/>
        </w:rPr>
      </w:pPr>
      <w:r>
        <w:rPr>
          <w:sz w:val="24"/>
        </w:rPr>
        <w:t>Озеленение территорий перспективной застройки и новых транспортных магистралей, создание лесопарков из естественных насаждений деревьев и кустарников хвойных и лиственных пород осуществляется по планам благоустройства и озеленения, входящим в состав проектной документации на строительство объектов, а также по отдельным проектам ландшафтного строительства.</w:t>
      </w:r>
    </w:p>
    <w:p>
      <w:pPr>
        <w:pStyle w:val="3"/>
        <w:keepLines/>
        <w:numPr>
          <w:ilvl w:val="1"/>
          <w:numId w:val="44"/>
        </w:numPr>
        <w:suppressAutoHyphens/>
        <w:spacing w:before="480" w:after="360" w:line="360" w:lineRule="auto"/>
        <w:ind w:left="0" w:firstLine="0"/>
        <w:jc w:val="center"/>
        <w:rPr>
          <w:rFonts w:ascii="Times New Roman" w:hAnsi="Times New Roman"/>
          <w:i w:val="0"/>
          <w:sz w:val="30"/>
          <w:szCs w:val="30"/>
        </w:rPr>
      </w:pPr>
      <w:bookmarkStart w:id="172" w:name="_Toc57203224"/>
      <w:r>
        <w:rPr>
          <w:rFonts w:ascii="Times New Roman" w:hAnsi="Times New Roman"/>
          <w:i w:val="0"/>
          <w:sz w:val="30"/>
          <w:szCs w:val="30"/>
        </w:rPr>
        <w:t>Санитарная очистка территории</w:t>
      </w:r>
      <w:bookmarkEnd w:id="170"/>
      <w:r>
        <w:rPr>
          <w:rFonts w:ascii="Times New Roman" w:hAnsi="Times New Roman"/>
          <w:i w:val="0"/>
          <w:sz w:val="30"/>
          <w:szCs w:val="30"/>
        </w:rPr>
        <w:t>. Размещение кладбищ</w:t>
      </w:r>
      <w:bookmarkEnd w:id="171"/>
      <w:bookmarkEnd w:id="172"/>
    </w:p>
    <w:p>
      <w:pPr>
        <w:pStyle w:val="282"/>
        <w:rPr>
          <w:rFonts w:eastAsia="Calibri"/>
          <w:sz w:val="24"/>
          <w:szCs w:val="24"/>
        </w:rPr>
      </w:pPr>
      <w:bookmarkStart w:id="173" w:name="_Toc268263653"/>
      <w:bookmarkStart w:id="174" w:name="_Toc342472332"/>
      <w:r>
        <w:rPr>
          <w:rFonts w:eastAsia="Calibri"/>
          <w:sz w:val="24"/>
          <w:szCs w:val="24"/>
        </w:rPr>
        <w:t>Одним из первоочередных мероприятий по охране территории от загрязнений является организация санитарной очистки территории поселения, хранение отходов в специально отведенных местах с последующим размещением на полигоне ТКО.</w:t>
      </w:r>
    </w:p>
    <w:p>
      <w:pPr>
        <w:pStyle w:val="282"/>
        <w:rPr>
          <w:rFonts w:eastAsia="Calibri"/>
          <w:sz w:val="24"/>
          <w:szCs w:val="24"/>
        </w:rPr>
      </w:pPr>
    </w:p>
    <w:p>
      <w:pPr>
        <w:pStyle w:val="282"/>
        <w:rPr>
          <w:rFonts w:eastAsia="Calibri"/>
          <w:sz w:val="24"/>
          <w:szCs w:val="24"/>
        </w:rPr>
      </w:pPr>
      <w:r>
        <w:rPr>
          <w:rFonts w:eastAsia="Calibri"/>
          <w:sz w:val="24"/>
          <w:szCs w:val="24"/>
        </w:rPr>
        <w:t>Генеральным планом предусмотрены следующие мероприятия по санитарной очистке территории муниципального образования:</w:t>
      </w:r>
    </w:p>
    <w:p>
      <w:pPr>
        <w:pStyle w:val="282"/>
        <w:numPr>
          <w:ilvl w:val="0"/>
          <w:numId w:val="43"/>
        </w:numPr>
        <w:rPr>
          <w:sz w:val="24"/>
        </w:rPr>
      </w:pPr>
      <w:r>
        <w:rPr>
          <w:sz w:val="24"/>
        </w:rPr>
        <w:t>организация планово-регулярной системы очистки населенных пунктов, своевременного сбора и вывоза отходов на площадку для временного складирования отходов;</w:t>
      </w:r>
    </w:p>
    <w:p>
      <w:pPr>
        <w:pStyle w:val="282"/>
        <w:numPr>
          <w:ilvl w:val="0"/>
          <w:numId w:val="43"/>
        </w:numPr>
        <w:rPr>
          <w:sz w:val="24"/>
        </w:rPr>
      </w:pPr>
      <w:r>
        <w:rPr>
          <w:sz w:val="24"/>
        </w:rPr>
        <w:t>сбор, транспортировка и обезвреживание всех видов отходов;</w:t>
      </w:r>
    </w:p>
    <w:p>
      <w:pPr>
        <w:pStyle w:val="282"/>
        <w:numPr>
          <w:ilvl w:val="0"/>
          <w:numId w:val="43"/>
        </w:numPr>
        <w:rPr>
          <w:sz w:val="24"/>
        </w:rPr>
      </w:pPr>
      <w:r>
        <w:rPr>
          <w:sz w:val="24"/>
        </w:rPr>
        <w:t>организация уборки территорий от мусора, смета, снега;</w:t>
      </w:r>
    </w:p>
    <w:p>
      <w:pPr>
        <w:pStyle w:val="282"/>
        <w:numPr>
          <w:ilvl w:val="0"/>
          <w:numId w:val="43"/>
        </w:numPr>
        <w:rPr>
          <w:sz w:val="24"/>
        </w:rPr>
      </w:pPr>
      <w:r>
        <w:rPr>
          <w:sz w:val="24"/>
        </w:rPr>
        <w:t>ликвидация несанкционированных свалок, с последующим проведением рекультивации территории, расчистка захламленных участков;</w:t>
      </w:r>
    </w:p>
    <w:p>
      <w:pPr>
        <w:pStyle w:val="282"/>
        <w:numPr>
          <w:ilvl w:val="0"/>
          <w:numId w:val="43"/>
        </w:numPr>
        <w:rPr>
          <w:sz w:val="24"/>
        </w:rPr>
      </w:pPr>
      <w:r>
        <w:rPr>
          <w:sz w:val="24"/>
        </w:rPr>
        <w:t>организация сбора и удаление вторичного сырья;</w:t>
      </w:r>
    </w:p>
    <w:p>
      <w:pPr>
        <w:pStyle w:val="282"/>
        <w:numPr>
          <w:ilvl w:val="0"/>
          <w:numId w:val="43"/>
        </w:numPr>
        <w:rPr>
          <w:sz w:val="24"/>
        </w:rPr>
      </w:pPr>
      <w:r>
        <w:rPr>
          <w:sz w:val="24"/>
        </w:rPr>
        <w:t>организация оборудованных контейнерных площадок для селективного сбора отходов.</w:t>
      </w:r>
    </w:p>
    <w:p>
      <w:pPr>
        <w:pStyle w:val="282"/>
        <w:rPr>
          <w:rFonts w:eastAsia="Calibri"/>
          <w:sz w:val="24"/>
          <w:szCs w:val="24"/>
        </w:rPr>
      </w:pPr>
      <w:r>
        <w:rPr>
          <w:rFonts w:eastAsia="Calibri"/>
          <w:sz w:val="24"/>
          <w:szCs w:val="24"/>
        </w:rPr>
        <w:t xml:space="preserve">На дальнейшую перспективу для захоронения отводится территория площадью 4,89 га, прилегающая к существующему кладбищу. </w:t>
      </w:r>
    </w:p>
    <w:p>
      <w:pPr>
        <w:pStyle w:val="282"/>
        <w:rPr>
          <w:rFonts w:eastAsia="Calibri"/>
          <w:sz w:val="24"/>
          <w:szCs w:val="24"/>
        </w:rPr>
      </w:pPr>
      <w:r>
        <w:rPr>
          <w:rFonts w:eastAsia="Calibri"/>
          <w:sz w:val="24"/>
          <w:szCs w:val="24"/>
        </w:rPr>
        <w:t xml:space="preserve">Территория существующей несанкционированной свалки мусора подлежит рекультивации.  </w:t>
      </w:r>
    </w:p>
    <w:p>
      <w:pPr>
        <w:pStyle w:val="282"/>
        <w:rPr>
          <w:rFonts w:eastAsia="Calibri"/>
          <w:sz w:val="24"/>
          <w:szCs w:val="24"/>
        </w:rPr>
      </w:pPr>
      <w:r>
        <w:rPr>
          <w:rFonts w:eastAsia="Calibri"/>
          <w:sz w:val="24"/>
          <w:szCs w:val="24"/>
        </w:rPr>
        <w:t>В составе генерального плана предусмотрено на территории Николаевского сельского поселения размещение площадки для сбора мусора с дальнейшей транспортировкой на мусоросортировочную   территории Старощербиновского сельского поселения.</w:t>
      </w:r>
    </w:p>
    <w:p>
      <w:pPr>
        <w:pStyle w:val="282"/>
        <w:rPr>
          <w:rFonts w:eastAsia="Calibri"/>
          <w:sz w:val="24"/>
          <w:szCs w:val="24"/>
        </w:rPr>
      </w:pPr>
      <w:r>
        <w:rPr>
          <w:rFonts w:eastAsia="Calibri"/>
          <w:sz w:val="24"/>
          <w:szCs w:val="24"/>
        </w:rPr>
        <w:t>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лечебно-диагностических и оздоровительных процедур, а также  размещение, оборудование и эксплуатация участка по обращению с медицинскими отходами, санитарно-противоэпидемический режим работы при обращении с медицинскими отходами должны осуществляться согласно СанПиН 2.1.7.2790-10 "Санитарно-эпидемиологические требования к обращению с медицинскими отходами".</w:t>
      </w:r>
    </w:p>
    <w:p>
      <w:pPr>
        <w:pStyle w:val="282"/>
        <w:rPr>
          <w:rFonts w:eastAsia="Calibri"/>
          <w:sz w:val="24"/>
          <w:szCs w:val="24"/>
        </w:rPr>
      </w:pPr>
      <w:r>
        <w:rPr>
          <w:rFonts w:eastAsia="Calibri"/>
          <w:sz w:val="24"/>
          <w:szCs w:val="24"/>
        </w:rPr>
        <w:t>В случае невозможности установить оборудование по сжиганию отходов лечебно-профилактических учреждений, по согласованию с Роспотребнадзором данные отходы вывозятся для сжигания в специальной печи на территории полигона ТКО.</w:t>
      </w:r>
    </w:p>
    <w:p>
      <w:pPr>
        <w:pStyle w:val="282"/>
        <w:rPr>
          <w:rFonts w:eastAsia="Calibri"/>
          <w:sz w:val="24"/>
          <w:szCs w:val="24"/>
        </w:rPr>
      </w:pPr>
      <w:r>
        <w:rPr>
          <w:rFonts w:eastAsia="Calibri"/>
          <w:sz w:val="24"/>
          <w:szCs w:val="24"/>
        </w:rPr>
        <w:t>Расположение специальных установок, сжигательных печей на территории ЛПУ и полигона ТКО регламентируется соответствующими санитарными и строительными нормативами и согласовывается с Роспотребнадзором.</w:t>
      </w:r>
    </w:p>
    <w:p>
      <w:pPr>
        <w:pStyle w:val="282"/>
        <w:rPr>
          <w:rFonts w:eastAsia="Calibri"/>
          <w:sz w:val="24"/>
          <w:szCs w:val="24"/>
        </w:rPr>
      </w:pPr>
      <w:r>
        <w:rPr>
          <w:rFonts w:eastAsia="Calibri"/>
          <w:sz w:val="24"/>
          <w:szCs w:val="24"/>
        </w:rPr>
        <w:t xml:space="preserve">Сбор, утилизация и уничтожение биологических отходов на территории муниципального образования должна осуществляться в соответствии с Ветеринарно-санитарными правилами сбора, утилизации и уничтожения биологических отходов, утвержденными Главным государственным ветеринарным инспектором Российской Федерации 04.12.1995  № 13-7-2/469. Ветеринарно-санитарные правила сбора, утилизации и уничтожения биологических отходов являются обязательными для исполнения владельцами животных независимо от способа ведения хозяйства, а также организациями, предприятиями (в дальнейшем организациями) всех форм собственности, занимающимися производством, транспортировкой, заготовкой и переработкой продуктов и сырья животного происхождения. </w:t>
      </w:r>
    </w:p>
    <w:p>
      <w:pPr>
        <w:pStyle w:val="3"/>
        <w:keepNext w:val="0"/>
        <w:numPr>
          <w:ilvl w:val="1"/>
          <w:numId w:val="45"/>
        </w:numPr>
        <w:suppressAutoHyphens/>
        <w:spacing w:before="480" w:after="360" w:line="360" w:lineRule="auto"/>
        <w:ind w:left="0" w:firstLine="0"/>
        <w:jc w:val="center"/>
        <w:rPr>
          <w:rFonts w:ascii="Times New Roman" w:hAnsi="Times New Roman"/>
          <w:i w:val="0"/>
          <w:sz w:val="30"/>
          <w:szCs w:val="30"/>
        </w:rPr>
      </w:pPr>
      <w:bookmarkStart w:id="175" w:name="_Toc57203225"/>
      <w:r>
        <w:rPr>
          <w:rFonts w:ascii="Times New Roman" w:hAnsi="Times New Roman"/>
          <w:i w:val="0"/>
          <w:sz w:val="30"/>
          <w:szCs w:val="30"/>
        </w:rPr>
        <w:t>Санитарно-экологическое состояние окружающей среды</w:t>
      </w:r>
      <w:bookmarkEnd w:id="173"/>
      <w:bookmarkEnd w:id="174"/>
      <w:bookmarkEnd w:id="175"/>
      <w:bookmarkStart w:id="176" w:name="_Toc268263659"/>
    </w:p>
    <w:p>
      <w:pPr>
        <w:pStyle w:val="282"/>
        <w:rPr>
          <w:rFonts w:eastAsia="Calibri"/>
          <w:sz w:val="24"/>
          <w:szCs w:val="24"/>
        </w:rPr>
      </w:pPr>
      <w:r>
        <w:rPr>
          <w:rFonts w:eastAsia="Calibri"/>
          <w:sz w:val="24"/>
          <w:szCs w:val="24"/>
        </w:rPr>
        <w:t>Согласно ст.18 ФЗ от 04.05.1999 №96-ФЗ «Об охране атмосферного воздуха» хранение, захоронение и обезвреживание на территориях организаций и населенного пункта загрязняющих атмосферный воздух отходов производства и потребления, в том числе дурнопахнущих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
    <w:p>
      <w:pPr>
        <w:pStyle w:val="282"/>
        <w:rPr>
          <w:rFonts w:eastAsia="Calibri"/>
          <w:sz w:val="24"/>
          <w:szCs w:val="24"/>
        </w:rPr>
      </w:pPr>
      <w:r>
        <w:rPr>
          <w:rFonts w:eastAsia="Calibri"/>
          <w:sz w:val="24"/>
          <w:szCs w:val="24"/>
        </w:rPr>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pPr>
        <w:pStyle w:val="282"/>
        <w:rPr>
          <w:rFonts w:eastAsia="Calibri"/>
          <w:sz w:val="24"/>
          <w:szCs w:val="24"/>
        </w:rPr>
      </w:pPr>
      <w:r>
        <w:rPr>
          <w:rFonts w:eastAsia="Calibri"/>
          <w:sz w:val="24"/>
          <w:szCs w:val="24"/>
        </w:rPr>
        <w:t>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pPr>
        <w:pStyle w:val="282"/>
        <w:rPr>
          <w:rFonts w:eastAsia="Calibri"/>
          <w:sz w:val="24"/>
          <w:szCs w:val="24"/>
        </w:rPr>
      </w:pPr>
      <w:r>
        <w:rPr>
          <w:rFonts w:eastAsia="Calibri"/>
          <w:sz w:val="24"/>
          <w:szCs w:val="24"/>
        </w:rPr>
        <w:t>Основная масса ТКО вывозится на свалки, которые организованы и содержатся без учета требований СП 2.1.7.1038-01 «Гигиенические требования к устройству и содержанию полигонов для твёрдых бытовых отходов», СанПиН 2.2.1/2.1.1.1200-03 «Санитарно-защитные зоны и санитарная классификация предприятий, сооружений и иных объектов» ни с точки зрения организации сбора, ни с точки зрения их последующего хранения.</w:t>
      </w:r>
    </w:p>
    <w:p>
      <w:pPr>
        <w:spacing w:line="240" w:lineRule="auto"/>
        <w:jc w:val="center"/>
        <w:rPr>
          <w:b/>
          <w:bCs/>
        </w:rPr>
      </w:pPr>
      <w:r>
        <w:rPr>
          <w:b/>
          <w:bCs/>
        </w:rPr>
        <w:t>Проектные предложения</w:t>
      </w:r>
    </w:p>
    <w:p>
      <w:pPr>
        <w:pStyle w:val="282"/>
        <w:rPr>
          <w:rFonts w:eastAsia="Calibri"/>
          <w:sz w:val="24"/>
          <w:szCs w:val="24"/>
        </w:rPr>
      </w:pPr>
      <w:r>
        <w:rPr>
          <w:rFonts w:eastAsia="Calibri"/>
          <w:sz w:val="24"/>
          <w:szCs w:val="24"/>
        </w:rPr>
        <w:t xml:space="preserve">В комплекс по санитарной очистке территории села входят сбор, удаление, обеззараживание с последующей утилизацией жидких, твердых хозяйственно-бытовых отходов. Согласно нормативам Краснодарского края, накопление отходов на душу населения в муниципальном образовании составит 280 кг в год объемом 1400 л. </w:t>
      </w:r>
    </w:p>
    <w:p>
      <w:pPr>
        <w:pStyle w:val="282"/>
        <w:rPr>
          <w:rFonts w:eastAsia="Calibri"/>
          <w:sz w:val="24"/>
          <w:szCs w:val="24"/>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r>
        <w:rPr>
          <w:b/>
          <w:bCs/>
        </w:rPr>
        <w:t xml:space="preserve">Расчет объемов накопления бытовых отходов </w:t>
      </w:r>
    </w:p>
    <w:p>
      <w:pPr>
        <w:pStyle w:val="147"/>
        <w:numPr>
          <w:ilvl w:val="0"/>
          <w:numId w:val="23"/>
        </w:numPr>
        <w:ind w:right="142"/>
        <w:jc w:val="right"/>
        <w:rPr>
          <w:b/>
          <w:bCs/>
        </w:rPr>
      </w:pPr>
      <w:r>
        <w:rPr>
          <w:b/>
          <w:bCs/>
        </w:rPr>
        <w:t>Таблица 2</w:t>
      </w:r>
      <w:r>
        <w:rPr>
          <w:rFonts w:hint="default"/>
          <w:b/>
          <w:bCs/>
          <w:lang w:val="ru-RU"/>
        </w:rPr>
        <w:t>4</w:t>
      </w:r>
      <w:r>
        <w:rPr>
          <w:sz w:val="20"/>
          <w:szCs w:val="20"/>
        </w:rPr>
        <w:t xml:space="preserve"> </w:t>
      </w:r>
    </w:p>
    <w:tbl>
      <w:tblPr>
        <w:tblStyle w:val="12"/>
        <w:tblW w:w="5000" w:type="pct"/>
        <w:tblInd w:w="0" w:type="dxa"/>
        <w:tblLayout w:type="autofit"/>
        <w:tblCellMar>
          <w:top w:w="0" w:type="dxa"/>
          <w:left w:w="108" w:type="dxa"/>
          <w:bottom w:w="0" w:type="dxa"/>
          <w:right w:w="108" w:type="dxa"/>
        </w:tblCellMar>
      </w:tblPr>
      <w:tblGrid>
        <w:gridCol w:w="1297"/>
        <w:gridCol w:w="1067"/>
        <w:gridCol w:w="880"/>
        <w:gridCol w:w="1067"/>
        <w:gridCol w:w="1037"/>
        <w:gridCol w:w="1067"/>
        <w:gridCol w:w="1037"/>
        <w:gridCol w:w="576"/>
        <w:gridCol w:w="696"/>
        <w:gridCol w:w="576"/>
        <w:gridCol w:w="696"/>
      </w:tblGrid>
      <w:tr>
        <w:tblPrEx>
          <w:tblCellMar>
            <w:top w:w="0" w:type="dxa"/>
            <w:left w:w="108" w:type="dxa"/>
            <w:bottom w:w="0" w:type="dxa"/>
            <w:right w:w="108" w:type="dxa"/>
          </w:tblCellMar>
        </w:tblPrEx>
        <w:trPr>
          <w:trHeight w:val="300" w:hRule="atLeast"/>
        </w:trPr>
        <w:tc>
          <w:tcPr>
            <w:tcW w:w="720" w:type="pct"/>
            <w:vMerge w:val="restart"/>
            <w:tcBorders>
              <w:top w:val="single" w:color="auto" w:sz="4" w:space="0"/>
              <w:left w:val="single" w:color="auto" w:sz="4" w:space="0"/>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Коммунальные отходы</w:t>
            </w:r>
          </w:p>
        </w:tc>
        <w:tc>
          <w:tcPr>
            <w:tcW w:w="964" w:type="pct"/>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Число жителей, чел./ Площадь смета, м</w:t>
            </w:r>
            <w:r>
              <w:rPr>
                <w:rFonts w:eastAsia="Times New Roman"/>
                <w:b/>
                <w:color w:val="000000"/>
                <w:kern w:val="0"/>
                <w:vertAlign w:val="superscript"/>
                <w:lang w:eastAsia="ru-RU"/>
              </w:rPr>
              <w:t>2</w:t>
            </w:r>
          </w:p>
        </w:tc>
        <w:tc>
          <w:tcPr>
            <w:tcW w:w="2160" w:type="pct"/>
            <w:gridSpan w:val="4"/>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Удельная норма накопления на 1 человека в год</w:t>
            </w:r>
          </w:p>
        </w:tc>
        <w:tc>
          <w:tcPr>
            <w:tcW w:w="1155" w:type="pct"/>
            <w:gridSpan w:val="4"/>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Общее накопление в год</w:t>
            </w:r>
          </w:p>
        </w:tc>
      </w:tr>
      <w:tr>
        <w:tblPrEx>
          <w:tblCellMar>
            <w:top w:w="0" w:type="dxa"/>
            <w:left w:w="108" w:type="dxa"/>
            <w:bottom w:w="0" w:type="dxa"/>
            <w:right w:w="108" w:type="dxa"/>
          </w:tblCellMar>
        </w:tblPrEx>
        <w:trPr>
          <w:trHeight w:val="915" w:hRule="atLeast"/>
        </w:trPr>
        <w:tc>
          <w:tcPr>
            <w:tcW w:w="720" w:type="pct"/>
            <w:vMerge w:val="continue"/>
            <w:tcBorders>
              <w:top w:val="single" w:color="auto" w:sz="4" w:space="0"/>
              <w:left w:val="single" w:color="auto" w:sz="4" w:space="0"/>
              <w:bottom w:val="nil"/>
              <w:right w:val="single" w:color="auto" w:sz="4" w:space="0"/>
            </w:tcBorders>
            <w:vAlign w:val="center"/>
          </w:tcPr>
          <w:p>
            <w:pPr>
              <w:spacing w:after="0" w:line="240" w:lineRule="auto"/>
              <w:rPr>
                <w:rFonts w:eastAsia="Times New Roman"/>
                <w:b/>
                <w:color w:val="000000"/>
                <w:kern w:val="0"/>
                <w:lang w:eastAsia="ru-RU"/>
              </w:rPr>
            </w:pPr>
          </w:p>
        </w:tc>
        <w:tc>
          <w:tcPr>
            <w:tcW w:w="964" w:type="pct"/>
            <w:gridSpan w:val="2"/>
            <w:vMerge w:val="continue"/>
            <w:tcBorders>
              <w:top w:val="single" w:color="auto" w:sz="4" w:space="0"/>
              <w:left w:val="single" w:color="auto" w:sz="4" w:space="0"/>
              <w:bottom w:val="single" w:color="000000" w:sz="4" w:space="0"/>
              <w:right w:val="single" w:color="000000" w:sz="4" w:space="0"/>
            </w:tcBorders>
            <w:vAlign w:val="center"/>
          </w:tcPr>
          <w:p>
            <w:pPr>
              <w:spacing w:after="0" w:line="240" w:lineRule="auto"/>
              <w:rPr>
                <w:rFonts w:eastAsia="Times New Roman"/>
                <w:b/>
                <w:color w:val="000000"/>
                <w:kern w:val="0"/>
                <w:lang w:eastAsia="ru-RU"/>
              </w:rPr>
            </w:pPr>
          </w:p>
        </w:tc>
        <w:tc>
          <w:tcPr>
            <w:tcW w:w="1119"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кг</w:t>
            </w:r>
          </w:p>
        </w:tc>
        <w:tc>
          <w:tcPr>
            <w:tcW w:w="1041"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л</w:t>
            </w:r>
          </w:p>
        </w:tc>
        <w:tc>
          <w:tcPr>
            <w:tcW w:w="552"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604" w:type="pct"/>
            <w:gridSpan w:val="2"/>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r>
      <w:tr>
        <w:tblPrEx>
          <w:tblCellMar>
            <w:top w:w="0" w:type="dxa"/>
            <w:left w:w="108" w:type="dxa"/>
            <w:bottom w:w="0" w:type="dxa"/>
            <w:right w:w="108" w:type="dxa"/>
          </w:tblCellMar>
        </w:tblPrEx>
        <w:trPr>
          <w:trHeight w:val="510" w:hRule="atLeast"/>
        </w:trPr>
        <w:tc>
          <w:tcPr>
            <w:tcW w:w="720" w:type="pct"/>
            <w:vMerge w:val="continue"/>
            <w:tcBorders>
              <w:top w:val="single" w:color="auto" w:sz="4" w:space="0"/>
              <w:left w:val="single" w:color="auto" w:sz="4" w:space="0"/>
              <w:bottom w:val="nil"/>
              <w:right w:val="single" w:color="auto" w:sz="4" w:space="0"/>
            </w:tcBorders>
            <w:vAlign w:val="center"/>
          </w:tcPr>
          <w:p>
            <w:pPr>
              <w:spacing w:after="0" w:line="240" w:lineRule="auto"/>
              <w:rPr>
                <w:rFonts w:eastAsia="Times New Roman"/>
                <w:b/>
                <w:color w:val="000000"/>
                <w:kern w:val="0"/>
                <w:lang w:eastAsia="ru-RU"/>
              </w:rPr>
            </w:pPr>
          </w:p>
        </w:tc>
        <w:tc>
          <w:tcPr>
            <w:tcW w:w="453"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511"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c>
          <w:tcPr>
            <w:tcW w:w="530"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c>
          <w:tcPr>
            <w:tcW w:w="452"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I очередь</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расчётный    срок</w:t>
            </w:r>
          </w:p>
        </w:tc>
        <w:tc>
          <w:tcPr>
            <w:tcW w:w="251"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т</w:t>
            </w:r>
          </w:p>
        </w:tc>
        <w:tc>
          <w:tcPr>
            <w:tcW w:w="300"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м</w:t>
            </w:r>
            <w:r>
              <w:rPr>
                <w:rFonts w:eastAsia="Times New Roman"/>
                <w:b/>
                <w:color w:val="000000"/>
                <w:kern w:val="0"/>
                <w:vertAlign w:val="superscript"/>
                <w:lang w:eastAsia="ru-RU"/>
              </w:rPr>
              <w:t>3</w:t>
            </w:r>
          </w:p>
        </w:tc>
        <w:tc>
          <w:tcPr>
            <w:tcW w:w="282"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т</w:t>
            </w:r>
          </w:p>
        </w:tc>
        <w:tc>
          <w:tcPr>
            <w:tcW w:w="321" w:type="pct"/>
            <w:tcBorders>
              <w:top w:val="nil"/>
              <w:left w:val="nil"/>
              <w:bottom w:val="nil"/>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м</w:t>
            </w:r>
            <w:r>
              <w:rPr>
                <w:rFonts w:eastAsia="Times New Roman"/>
                <w:b/>
                <w:color w:val="000000"/>
                <w:kern w:val="0"/>
                <w:vertAlign w:val="superscript"/>
                <w:lang w:eastAsia="ru-RU"/>
              </w:rPr>
              <w:t>3</w:t>
            </w:r>
          </w:p>
        </w:tc>
      </w:tr>
      <w:tr>
        <w:tblPrEx>
          <w:tblCellMar>
            <w:top w:w="0" w:type="dxa"/>
            <w:left w:w="108" w:type="dxa"/>
            <w:bottom w:w="0" w:type="dxa"/>
            <w:right w:w="108" w:type="dxa"/>
          </w:tblCellMar>
        </w:tblPrEx>
        <w:trPr>
          <w:trHeight w:val="510" w:hRule="atLeast"/>
        </w:trPr>
        <w:tc>
          <w:tcPr>
            <w:tcW w:w="720" w:type="pc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eastAsia="Times New Roman"/>
                <w:color w:val="000000"/>
                <w:kern w:val="0"/>
                <w:lang w:eastAsia="ru-RU"/>
              </w:rPr>
            </w:pPr>
            <w:r>
              <w:rPr>
                <w:rFonts w:eastAsia="Times New Roman"/>
                <w:color w:val="000000"/>
                <w:kern w:val="0"/>
                <w:lang w:eastAsia="ru-RU"/>
              </w:rPr>
              <w:t>Объем накопления ТКО по населенным пунктам с учетом общественных зданий</w:t>
            </w:r>
          </w:p>
        </w:tc>
        <w:tc>
          <w:tcPr>
            <w:tcW w:w="453"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2265</w:t>
            </w:r>
          </w:p>
        </w:tc>
        <w:tc>
          <w:tcPr>
            <w:tcW w:w="511"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2477</w:t>
            </w:r>
          </w:p>
        </w:tc>
        <w:tc>
          <w:tcPr>
            <w:tcW w:w="530"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280</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280</w:t>
            </w:r>
          </w:p>
        </w:tc>
        <w:tc>
          <w:tcPr>
            <w:tcW w:w="452"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1400</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1400</w:t>
            </w:r>
          </w:p>
        </w:tc>
        <w:tc>
          <w:tcPr>
            <w:tcW w:w="251"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634</w:t>
            </w:r>
          </w:p>
        </w:tc>
        <w:tc>
          <w:tcPr>
            <w:tcW w:w="300"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3171</w:t>
            </w:r>
          </w:p>
        </w:tc>
        <w:tc>
          <w:tcPr>
            <w:tcW w:w="282"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694</w:t>
            </w:r>
          </w:p>
        </w:tc>
        <w:tc>
          <w:tcPr>
            <w:tcW w:w="321" w:type="pct"/>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3468</w:t>
            </w:r>
          </w:p>
        </w:tc>
      </w:tr>
      <w:tr>
        <w:tblPrEx>
          <w:tblCellMar>
            <w:top w:w="0" w:type="dxa"/>
            <w:left w:w="108" w:type="dxa"/>
            <w:bottom w:w="0" w:type="dxa"/>
            <w:right w:w="108" w:type="dxa"/>
          </w:tblCellMar>
        </w:tblPrEx>
        <w:trPr>
          <w:trHeight w:val="300" w:hRule="atLeast"/>
        </w:trPr>
        <w:tc>
          <w:tcPr>
            <w:tcW w:w="720" w:type="pc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Итого</w:t>
            </w:r>
          </w:p>
        </w:tc>
        <w:tc>
          <w:tcPr>
            <w:tcW w:w="453"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1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3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45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589"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color w:val="000000"/>
                <w:kern w:val="0"/>
                <w:lang w:eastAsia="ru-RU"/>
              </w:rPr>
            </w:pPr>
            <w:r>
              <w:rPr>
                <w:rFonts w:eastAsia="Times New Roman"/>
                <w:color w:val="000000"/>
                <w:kern w:val="0"/>
                <w:lang w:eastAsia="ru-RU"/>
              </w:rPr>
              <w:t>Х</w:t>
            </w:r>
          </w:p>
        </w:tc>
        <w:tc>
          <w:tcPr>
            <w:tcW w:w="25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634</w:t>
            </w:r>
          </w:p>
        </w:tc>
        <w:tc>
          <w:tcPr>
            <w:tcW w:w="300"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3171</w:t>
            </w:r>
          </w:p>
        </w:tc>
        <w:tc>
          <w:tcPr>
            <w:tcW w:w="282"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694</w:t>
            </w:r>
          </w:p>
        </w:tc>
        <w:tc>
          <w:tcPr>
            <w:tcW w:w="321" w:type="pct"/>
            <w:tcBorders>
              <w:top w:val="nil"/>
              <w:left w:val="nil"/>
              <w:bottom w:val="single" w:color="auto" w:sz="4" w:space="0"/>
              <w:right w:val="single" w:color="auto" w:sz="4" w:space="0"/>
            </w:tcBorders>
            <w:shd w:val="clear" w:color="auto" w:fill="auto"/>
            <w:vAlign w:val="center"/>
          </w:tcPr>
          <w:p>
            <w:pPr>
              <w:spacing w:after="0" w:line="240" w:lineRule="auto"/>
              <w:jc w:val="center"/>
              <w:rPr>
                <w:rFonts w:eastAsia="Times New Roman"/>
                <w:b/>
                <w:color w:val="000000"/>
                <w:kern w:val="0"/>
                <w:lang w:eastAsia="ru-RU"/>
              </w:rPr>
            </w:pPr>
            <w:r>
              <w:rPr>
                <w:rFonts w:eastAsia="Times New Roman"/>
                <w:b/>
                <w:color w:val="000000"/>
                <w:kern w:val="0"/>
                <w:lang w:eastAsia="ru-RU"/>
              </w:rPr>
              <w:t>3468</w:t>
            </w:r>
          </w:p>
        </w:tc>
      </w:tr>
    </w:tbl>
    <w:p>
      <w:pPr>
        <w:pStyle w:val="43"/>
        <w:suppressAutoHyphens/>
        <w:spacing w:after="0" w:line="360" w:lineRule="auto"/>
        <w:ind w:firstLine="851"/>
        <w:contextualSpacing/>
        <w:jc w:val="both"/>
        <w:rPr>
          <w:b w:val="0"/>
          <w:bCs w:val="0"/>
          <w:color w:val="auto"/>
          <w:sz w:val="24"/>
          <w:szCs w:val="24"/>
        </w:rPr>
      </w:pPr>
    </w:p>
    <w:p>
      <w:pPr>
        <w:pStyle w:val="282"/>
        <w:rPr>
          <w:rFonts w:eastAsia="Calibri"/>
          <w:sz w:val="24"/>
          <w:szCs w:val="24"/>
        </w:rPr>
      </w:pPr>
      <w:r>
        <w:rPr>
          <w:rFonts w:eastAsia="Calibri"/>
          <w:sz w:val="24"/>
          <w:szCs w:val="24"/>
        </w:rPr>
        <w:t>Согласно данным расчета годовой объем ТКО на расчетный срок составит 3468 м</w:t>
      </w:r>
      <w:r>
        <w:rPr>
          <w:rFonts w:eastAsia="Calibri"/>
          <w:sz w:val="24"/>
          <w:szCs w:val="24"/>
          <w:vertAlign w:val="superscript"/>
        </w:rPr>
        <w:t>3</w:t>
      </w:r>
      <w:r>
        <w:rPr>
          <w:rFonts w:eastAsia="Calibri"/>
          <w:sz w:val="24"/>
          <w:szCs w:val="24"/>
        </w:rPr>
        <w:t>.</w:t>
      </w:r>
    </w:p>
    <w:p>
      <w:pPr>
        <w:pStyle w:val="282"/>
        <w:rPr>
          <w:rFonts w:eastAsia="Calibri"/>
          <w:sz w:val="24"/>
          <w:szCs w:val="24"/>
        </w:rPr>
      </w:pPr>
      <w:r>
        <w:rPr>
          <w:rFonts w:eastAsia="Calibri"/>
          <w:sz w:val="24"/>
          <w:szCs w:val="24"/>
        </w:rPr>
        <w:t>При санитарной очистке населенных пунктов поселения необходимо выполнять следующие мероприятия:</w:t>
      </w:r>
    </w:p>
    <w:p>
      <w:pPr>
        <w:pStyle w:val="282"/>
        <w:numPr>
          <w:ilvl w:val="0"/>
          <w:numId w:val="43"/>
        </w:numPr>
        <w:rPr>
          <w:sz w:val="24"/>
        </w:rPr>
      </w:pPr>
      <w:r>
        <w:rPr>
          <w:sz w:val="24"/>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pPr>
        <w:pStyle w:val="282"/>
        <w:numPr>
          <w:ilvl w:val="0"/>
          <w:numId w:val="43"/>
        </w:numPr>
        <w:rPr>
          <w:sz w:val="24"/>
        </w:rPr>
      </w:pPr>
      <w:r>
        <w:rPr>
          <w:sz w:val="24"/>
        </w:rPr>
        <w:t>максимально механизировать все процессы очистки, поливки, полностью исключить ручные работы с отходами;</w:t>
      </w:r>
    </w:p>
    <w:p>
      <w:pPr>
        <w:pStyle w:val="282"/>
        <w:numPr>
          <w:ilvl w:val="0"/>
          <w:numId w:val="43"/>
        </w:numPr>
        <w:rPr>
          <w:sz w:val="24"/>
        </w:rPr>
      </w:pPr>
      <w:r>
        <w:rPr>
          <w:sz w:val="24"/>
        </w:rPr>
        <w:t>обеспечить герметичность емкостей для вывоза отходов;</w:t>
      </w:r>
    </w:p>
    <w:p>
      <w:pPr>
        <w:pStyle w:val="282"/>
        <w:numPr>
          <w:ilvl w:val="0"/>
          <w:numId w:val="43"/>
        </w:numPr>
        <w:rPr>
          <w:sz w:val="24"/>
        </w:rPr>
      </w:pPr>
      <w:r>
        <w:rPr>
          <w:sz w:val="24"/>
        </w:rPr>
        <w:t>обезвреживание отходов производить в местах, установленных для этой цели;</w:t>
      </w:r>
    </w:p>
    <w:p>
      <w:pPr>
        <w:pStyle w:val="282"/>
        <w:numPr>
          <w:ilvl w:val="0"/>
          <w:numId w:val="43"/>
        </w:numPr>
        <w:rPr>
          <w:sz w:val="24"/>
        </w:rPr>
      </w:pPr>
      <w:r>
        <w:rPr>
          <w:sz w:val="24"/>
        </w:rPr>
        <w:t>обезвреживание и захоронение трупов животных производить в отведенном для этой цели месте (скотомогильнике).</w:t>
      </w:r>
    </w:p>
    <w:p>
      <w:pPr>
        <w:pStyle w:val="282"/>
        <w:rPr>
          <w:rFonts w:eastAsia="Calibri"/>
          <w:sz w:val="24"/>
          <w:szCs w:val="24"/>
        </w:rPr>
      </w:pPr>
      <w:r>
        <w:rPr>
          <w:rFonts w:eastAsia="Calibri"/>
          <w:sz w:val="24"/>
          <w:szCs w:val="24"/>
        </w:rPr>
        <w:t>Сброс твердых коммунальных отходов предусматривается в металлические контейнеры объемом 1 м</w:t>
      </w:r>
      <w:r>
        <w:rPr>
          <w:rFonts w:eastAsia="Calibri"/>
          <w:sz w:val="24"/>
          <w:szCs w:val="24"/>
          <w:vertAlign w:val="superscript"/>
        </w:rPr>
        <w:t>3</w:t>
      </w:r>
      <w:r>
        <w:rPr>
          <w:rFonts w:eastAsia="Calibri"/>
          <w:sz w:val="24"/>
          <w:szCs w:val="24"/>
        </w:rPr>
        <w:t>, которые устанавливаются на специальных площадках, для обслуживания групп жилых домов и общественных зданий. Среднесуточное накопление отходов составит:</w:t>
      </w:r>
    </w:p>
    <w:p>
      <w:pPr>
        <w:widowControl w:val="0"/>
        <w:spacing w:after="0" w:line="360" w:lineRule="auto"/>
        <w:ind w:firstLine="851"/>
        <w:contextualSpacing/>
        <w:jc w:val="center"/>
      </w:pPr>
      <w:r>
        <w:t>3468 : 365 = 9 м</w:t>
      </w:r>
      <w:r>
        <w:rPr>
          <w:vertAlign w:val="superscript"/>
        </w:rPr>
        <w:t>3</w:t>
      </w:r>
      <w:r>
        <w:t>.</w:t>
      </w:r>
    </w:p>
    <w:p>
      <w:pPr>
        <w:pStyle w:val="282"/>
        <w:rPr>
          <w:rFonts w:eastAsia="Calibri"/>
          <w:sz w:val="24"/>
          <w:szCs w:val="24"/>
        </w:rPr>
      </w:pPr>
      <w:r>
        <w:rPr>
          <w:rFonts w:eastAsia="Calibri"/>
          <w:sz w:val="24"/>
          <w:szCs w:val="24"/>
        </w:rPr>
        <w:t>С учетом периодичности вывоза мусора (1 выезд в два дня) количество контейнеров составит:</w:t>
      </w:r>
    </w:p>
    <w:p>
      <w:pPr>
        <w:widowControl w:val="0"/>
        <w:spacing w:after="0" w:line="360" w:lineRule="auto"/>
        <w:ind w:firstLine="851"/>
        <w:contextualSpacing/>
        <w:jc w:val="center"/>
      </w:pPr>
      <w:r>
        <w:t>9 х 2=18 шт.</w:t>
      </w:r>
    </w:p>
    <w:p>
      <w:pPr>
        <w:pStyle w:val="282"/>
        <w:rPr>
          <w:rFonts w:eastAsia="Calibri"/>
          <w:sz w:val="24"/>
          <w:szCs w:val="24"/>
        </w:rPr>
      </w:pPr>
      <w:r>
        <w:rPr>
          <w:rFonts w:eastAsia="Calibri"/>
          <w:sz w:val="24"/>
          <w:szCs w:val="24"/>
        </w:rPr>
        <w:t xml:space="preserve">На сегодняшний день в поселке контейнеры не установлены, поэтому на расчетный срок генеральным планом предлагается установить в черте населенного пункта 4 контейнера. </w:t>
      </w:r>
    </w:p>
    <w:p>
      <w:pPr>
        <w:pStyle w:val="282"/>
        <w:rPr>
          <w:rFonts w:eastAsia="Calibri"/>
          <w:sz w:val="24"/>
          <w:szCs w:val="24"/>
        </w:rPr>
      </w:pPr>
      <w:r>
        <w:rPr>
          <w:rFonts w:eastAsia="Calibri"/>
          <w:sz w:val="24"/>
          <w:szCs w:val="24"/>
        </w:rPr>
        <w:t>Примерный расчет площади, необходимой для хранения твердых коммунальных отходов, приведен ниже:</w:t>
      </w:r>
    </w:p>
    <w:p>
      <w:pPr>
        <w:widowControl w:val="0"/>
        <w:spacing w:after="0" w:line="360" w:lineRule="auto"/>
        <w:ind w:firstLine="851"/>
        <w:contextualSpacing/>
        <w:jc w:val="center"/>
      </w:pPr>
      <w:r>
        <w:t>3468 * 20 / 10 = 6936 м</w:t>
      </w:r>
      <w:r>
        <w:rPr>
          <w:vertAlign w:val="superscript"/>
        </w:rPr>
        <w:t>2</w:t>
      </w:r>
      <w:r>
        <w:t xml:space="preserve"> или 0,7 га. </w:t>
      </w:r>
    </w:p>
    <w:p>
      <w:pPr>
        <w:pStyle w:val="282"/>
        <w:rPr>
          <w:sz w:val="24"/>
        </w:rPr>
      </w:pPr>
      <w:r>
        <w:rPr>
          <w:sz w:val="24"/>
        </w:rPr>
        <w:t xml:space="preserve">где: </w:t>
      </w:r>
    </w:p>
    <w:p>
      <w:pPr>
        <w:pStyle w:val="282"/>
        <w:numPr>
          <w:ilvl w:val="0"/>
          <w:numId w:val="43"/>
        </w:numPr>
        <w:rPr>
          <w:sz w:val="24"/>
        </w:rPr>
      </w:pPr>
      <w:r>
        <w:rPr>
          <w:sz w:val="24"/>
        </w:rPr>
        <w:t>20 – расчетный период, лет;</w:t>
      </w:r>
    </w:p>
    <w:p>
      <w:pPr>
        <w:pStyle w:val="282"/>
        <w:numPr>
          <w:ilvl w:val="0"/>
          <w:numId w:val="43"/>
        </w:numPr>
        <w:rPr>
          <w:sz w:val="24"/>
        </w:rPr>
      </w:pPr>
      <w:r>
        <w:rPr>
          <w:sz w:val="24"/>
        </w:rPr>
        <w:t>1231 –норма накопления отходов поселением в год, м</w:t>
      </w:r>
      <w:r>
        <w:rPr>
          <w:sz w:val="24"/>
          <w:vertAlign w:val="superscript"/>
        </w:rPr>
        <w:t>3</w:t>
      </w:r>
      <w:r>
        <w:rPr>
          <w:sz w:val="24"/>
        </w:rPr>
        <w:t>;</w:t>
      </w:r>
    </w:p>
    <w:p>
      <w:pPr>
        <w:pStyle w:val="282"/>
        <w:numPr>
          <w:ilvl w:val="0"/>
          <w:numId w:val="43"/>
        </w:numPr>
        <w:rPr>
          <w:sz w:val="24"/>
        </w:rPr>
      </w:pPr>
      <w:r>
        <w:rPr>
          <w:sz w:val="24"/>
        </w:rPr>
        <w:t>10 – высота складирования, м.</w:t>
      </w:r>
    </w:p>
    <w:p>
      <w:pPr>
        <w:pStyle w:val="282"/>
        <w:rPr>
          <w:rFonts w:eastAsia="Calibri"/>
          <w:sz w:val="24"/>
          <w:szCs w:val="24"/>
        </w:rPr>
      </w:pPr>
      <w:r>
        <w:rPr>
          <w:rFonts w:eastAsia="Calibri"/>
          <w:sz w:val="24"/>
          <w:szCs w:val="24"/>
        </w:rPr>
        <w:t xml:space="preserve">Таким образом, для размещения всех коммунальных отходов, которые будут образованы в муниципальном образовании до 2040 г., требуется обеспечить наличие свободной площади полигона, равной 0,7 га. </w:t>
      </w:r>
    </w:p>
    <w:p>
      <w:pPr>
        <w:spacing w:line="240" w:lineRule="auto"/>
        <w:jc w:val="center"/>
        <w:rPr>
          <w:b/>
          <w:bCs/>
        </w:rPr>
      </w:pPr>
      <w:r>
        <w:rPr>
          <w:b/>
          <w:bCs/>
        </w:rPr>
        <w:t>Проектные предложения</w:t>
      </w:r>
    </w:p>
    <w:p>
      <w:pPr>
        <w:pStyle w:val="282"/>
        <w:rPr>
          <w:rFonts w:eastAsia="Calibri"/>
          <w:sz w:val="24"/>
          <w:szCs w:val="24"/>
        </w:rPr>
      </w:pPr>
      <w:r>
        <w:rPr>
          <w:rFonts w:eastAsia="Calibri"/>
          <w:sz w:val="24"/>
          <w:szCs w:val="24"/>
        </w:rPr>
        <w:t xml:space="preserve">Для стабилизации и дальнейшего решения проблемы санитарной очистки территории поселка генеральным планом на </w:t>
      </w:r>
      <w:r>
        <w:rPr>
          <w:rFonts w:eastAsia="Calibri"/>
          <w:b/>
          <w:sz w:val="24"/>
          <w:szCs w:val="24"/>
        </w:rPr>
        <w:t>первую очередь строительства</w:t>
      </w:r>
      <w:r>
        <w:rPr>
          <w:rFonts w:eastAsia="Calibri"/>
          <w:sz w:val="24"/>
          <w:szCs w:val="24"/>
        </w:rPr>
        <w:t xml:space="preserve"> предлагается разработать схему обращения с отходами, в составе которой должны быть предусмотрены следующие первоочередные меры:</w:t>
      </w:r>
    </w:p>
    <w:p>
      <w:pPr>
        <w:pStyle w:val="282"/>
        <w:numPr>
          <w:ilvl w:val="0"/>
          <w:numId w:val="43"/>
        </w:numPr>
        <w:rPr>
          <w:sz w:val="24"/>
        </w:rPr>
      </w:pPr>
      <w:r>
        <w:rPr>
          <w:sz w:val="24"/>
        </w:rPr>
        <w:t>выявление всех несанкционированных свалок и их рекультивация;</w:t>
      </w:r>
    </w:p>
    <w:p>
      <w:pPr>
        <w:pStyle w:val="282"/>
        <w:numPr>
          <w:ilvl w:val="0"/>
          <w:numId w:val="43"/>
        </w:numPr>
        <w:rPr>
          <w:sz w:val="24"/>
        </w:rPr>
      </w:pPr>
      <w:r>
        <w:rPr>
          <w:sz w:val="24"/>
        </w:rPr>
        <w:t>разработка схемы санитарной очистки территории с применением мусорных контейнеров;</w:t>
      </w:r>
    </w:p>
    <w:p>
      <w:pPr>
        <w:pStyle w:val="282"/>
        <w:numPr>
          <w:ilvl w:val="0"/>
          <w:numId w:val="43"/>
        </w:numPr>
        <w:rPr>
          <w:sz w:val="24"/>
        </w:rPr>
      </w:pPr>
      <w:r>
        <w:rPr>
          <w:sz w:val="24"/>
        </w:rPr>
        <w:t>организация регулярного сбора ТКО у населения, оборудование контейнерных площадок, установка 18-ти контейнеров.</w:t>
      </w:r>
    </w:p>
    <w:p>
      <w:pPr>
        <w:pStyle w:val="282"/>
        <w:numPr>
          <w:ilvl w:val="0"/>
          <w:numId w:val="43"/>
        </w:numPr>
        <w:rPr>
          <w:sz w:val="24"/>
        </w:rPr>
      </w:pPr>
      <w:r>
        <w:rPr>
          <w:sz w:val="24"/>
        </w:rPr>
        <w:t>организовать работу по экологическому образованию и воспитанию населения.</w:t>
      </w:r>
    </w:p>
    <w:bookmarkEnd w:id="176"/>
    <w:p>
      <w:pPr>
        <w:pStyle w:val="3"/>
        <w:keepLines/>
        <w:numPr>
          <w:ilvl w:val="1"/>
          <w:numId w:val="46"/>
        </w:numPr>
        <w:suppressAutoHyphens/>
        <w:spacing w:before="480" w:after="0" w:line="360" w:lineRule="auto"/>
        <w:ind w:left="0" w:firstLine="0"/>
        <w:jc w:val="center"/>
        <w:rPr>
          <w:rFonts w:ascii="Times New Roman" w:hAnsi="Times New Roman"/>
          <w:i w:val="0"/>
          <w:sz w:val="30"/>
          <w:szCs w:val="30"/>
        </w:rPr>
      </w:pPr>
      <w:bookmarkStart w:id="177" w:name="_Toc342378326"/>
      <w:bookmarkStart w:id="178" w:name="_Toc57203226"/>
      <w:bookmarkStart w:id="179" w:name="_Toc342472339"/>
      <w:r>
        <w:rPr>
          <w:rFonts w:ascii="Times New Roman" w:hAnsi="Times New Roman"/>
          <w:i w:val="0"/>
          <w:sz w:val="30"/>
          <w:szCs w:val="30"/>
        </w:rPr>
        <w:t>Зоны с особыми условиями использования территорий</w:t>
      </w:r>
      <w:bookmarkEnd w:id="177"/>
      <w:bookmarkEnd w:id="178"/>
    </w:p>
    <w:p>
      <w:pPr>
        <w:pStyle w:val="4"/>
        <w:suppressAutoHyphens/>
        <w:spacing w:before="0" w:after="120" w:line="360" w:lineRule="auto"/>
        <w:jc w:val="center"/>
        <w:rPr>
          <w:rFonts w:ascii="Times New Roman" w:hAnsi="Times New Roman"/>
          <w:color w:val="auto"/>
          <w:kern w:val="32"/>
          <w:sz w:val="28"/>
          <w:szCs w:val="28"/>
          <w:lang w:eastAsia="ru-RU"/>
        </w:rPr>
      </w:pPr>
      <w:bookmarkStart w:id="180" w:name="_Toc57203227"/>
      <w:r>
        <w:rPr>
          <w:rFonts w:ascii="Times New Roman" w:hAnsi="Times New Roman"/>
          <w:color w:val="auto"/>
          <w:kern w:val="32"/>
          <w:sz w:val="28"/>
          <w:szCs w:val="28"/>
          <w:lang w:eastAsia="ru-RU"/>
        </w:rPr>
        <w:t>2.13.1 Зоны особо охраняемых природных территорий</w:t>
      </w:r>
      <w:bookmarkEnd w:id="180"/>
    </w:p>
    <w:p>
      <w:pPr>
        <w:spacing w:line="360" w:lineRule="auto"/>
        <w:ind w:firstLine="709"/>
      </w:pPr>
      <w:bookmarkStart w:id="181" w:name="_Toc251227953"/>
      <w:bookmarkStart w:id="182" w:name="_Toc233692626"/>
      <w:bookmarkStart w:id="183" w:name="_Toc254015183"/>
      <w:bookmarkStart w:id="184" w:name="_Toc244667636"/>
      <w:bookmarkStart w:id="185" w:name="_Toc251227801"/>
      <w:bookmarkStart w:id="186" w:name="_Toc233693941"/>
      <w:bookmarkStart w:id="187" w:name="_Toc248573864"/>
      <w:bookmarkStart w:id="188" w:name="_Toc251228155"/>
      <w:bookmarkStart w:id="189" w:name="_Toc263336529"/>
      <w:bookmarkStart w:id="190" w:name="_Toc514055393"/>
      <w:bookmarkStart w:id="191" w:name="_Toc237766799"/>
      <w:bookmarkStart w:id="192" w:name="_Toc251316438"/>
      <w:bookmarkStart w:id="193" w:name="_Toc375635629"/>
      <w:bookmarkStart w:id="194" w:name="_Toc240798270"/>
      <w:r>
        <w:t>На территории Ейскоукрепленского сельского поселения особо охраняемые природные территории отсутствуют.</w:t>
      </w:r>
    </w:p>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Pr>
        <w:pStyle w:val="4"/>
        <w:suppressAutoHyphens/>
        <w:spacing w:before="360" w:after="120" w:line="360" w:lineRule="auto"/>
        <w:jc w:val="center"/>
        <w:rPr>
          <w:rFonts w:ascii="Times New Roman" w:hAnsi="Times New Roman"/>
          <w:color w:val="auto"/>
          <w:kern w:val="32"/>
          <w:sz w:val="28"/>
          <w:szCs w:val="28"/>
          <w:lang w:eastAsia="ru-RU"/>
        </w:rPr>
      </w:pPr>
      <w:bookmarkStart w:id="195" w:name="_Toc342378327"/>
      <w:bookmarkStart w:id="196" w:name="_Toc303240072"/>
      <w:bookmarkStart w:id="197" w:name="_Toc57203228"/>
      <w:r>
        <w:rPr>
          <w:rFonts w:ascii="Times New Roman" w:hAnsi="Times New Roman"/>
          <w:color w:val="auto"/>
          <w:kern w:val="32"/>
          <w:sz w:val="28"/>
          <w:szCs w:val="28"/>
          <w:lang w:eastAsia="ru-RU"/>
        </w:rPr>
        <w:t>2.13.2 Зоны охраны объектов культурного наследия</w:t>
      </w:r>
      <w:bookmarkEnd w:id="195"/>
      <w:bookmarkEnd w:id="196"/>
      <w:bookmarkEnd w:id="197"/>
    </w:p>
    <w:p>
      <w:pPr>
        <w:spacing w:before="120" w:after="60" w:line="360" w:lineRule="auto"/>
        <w:ind w:firstLine="567"/>
        <w:jc w:val="center"/>
        <w:rPr>
          <w:rFonts w:eastAsia="Times New Roman"/>
          <w:b/>
          <w:kern w:val="0"/>
          <w:lang w:eastAsia="ru-RU"/>
        </w:rPr>
      </w:pPr>
      <w:bookmarkStart w:id="198" w:name="_Toc357494383"/>
      <w:r>
        <w:rPr>
          <w:rFonts w:eastAsia="Times New Roman"/>
          <w:b/>
          <w:kern w:val="0"/>
          <w:lang w:eastAsia="ru-RU"/>
        </w:rPr>
        <w:t>Охрана объектов культурного наследия</w:t>
      </w:r>
      <w:bookmarkEnd w:id="198"/>
    </w:p>
    <w:p>
      <w:pPr>
        <w:spacing w:before="120" w:after="60" w:line="360" w:lineRule="auto"/>
        <w:ind w:firstLine="567"/>
        <w:jc w:val="both"/>
        <w:rPr>
          <w:rFonts w:eastAsia="Times New Roman"/>
          <w:kern w:val="0"/>
          <w:lang w:eastAsia="ru-RU"/>
        </w:rPr>
      </w:pPr>
      <w:r>
        <w:rPr>
          <w:rFonts w:eastAsia="Times New Roman"/>
          <w:kern w:val="0"/>
          <w:lang w:eastAsia="ru-RU"/>
        </w:rPr>
        <w:t>В соответствии с Федеральным законом Российской Федерации от 25.06.2002  №73-ФЗ «Об объектах культурного наследия (памятниках истории и культуры) народов Российской Федерации» (далее по тексту - Федеральный закон от 25.06.2002  №73-ФЗ) к объектам культурного наследия (памятникам истории и культуры) народов Российской Федерации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pPr>
        <w:spacing w:before="120" w:after="60" w:line="360" w:lineRule="auto"/>
        <w:ind w:firstLine="567"/>
        <w:jc w:val="both"/>
        <w:rPr>
          <w:rFonts w:eastAsia="Times New Roman"/>
          <w:kern w:val="0"/>
          <w:lang w:eastAsia="ru-RU"/>
        </w:rPr>
      </w:pPr>
      <w:r>
        <w:rPr>
          <w:rFonts w:eastAsia="Times New Roman"/>
          <w:kern w:val="0"/>
          <w:lang w:eastAsia="ru-RU"/>
        </w:rPr>
        <w:t>Отношения, возникающие в области сохранения, использования, популяризации и государственной охраны объектов культурного наследия народов Российской Федерации в соответствии с полномочиями органов государственной власти Краснодарского края регулируется законом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p>
    <w:p>
      <w:pPr>
        <w:spacing w:line="360" w:lineRule="auto"/>
        <w:ind w:firstLine="709"/>
      </w:pPr>
      <w:bookmarkStart w:id="199" w:name="_Toc342378328"/>
      <w:bookmarkStart w:id="200" w:name="_Toc247965295"/>
      <w:bookmarkStart w:id="201" w:name="_Toc268263663"/>
      <w:r>
        <w:t>На территории Ейскоукрепленского сельского поселения согласно исследованиям и заключению ОАО «Наследие Кубани», располагаются следующие объекты культурного наследия, которые включены в государственный список памятников истории и культуры и стоят на государственной охране согласно действующему законодательству:</w:t>
      </w:r>
    </w:p>
    <w:p>
      <w:pPr>
        <w:pStyle w:val="147"/>
        <w:keepLines/>
        <w:suppressAutoHyphens/>
        <w:spacing w:after="0" w:line="360" w:lineRule="auto"/>
        <w:ind w:left="0" w:firstLine="851"/>
        <w:jc w:val="both"/>
        <w:rPr>
          <w:b/>
        </w:rPr>
      </w:pPr>
      <w:r>
        <w:rPr>
          <w:b/>
        </w:rPr>
        <w:t>памятники истории:</w:t>
      </w:r>
    </w:p>
    <w:p>
      <w:pPr>
        <w:pStyle w:val="282"/>
        <w:numPr>
          <w:ilvl w:val="0"/>
          <w:numId w:val="43"/>
        </w:numPr>
        <w:rPr>
          <w:sz w:val="24"/>
        </w:rPr>
      </w:pPr>
      <w:r>
        <w:rPr>
          <w:sz w:val="24"/>
        </w:rPr>
        <w:t>Остатки крепости «Ейское укрепление», построенной по инициативе полководца А.В. Суворова. С его пребыванием в крепости связано примирение с татаро-ногайскими племенами и принятие ими российского подданства, 1780-е годы. (гос.№ 4165).  Центральная часть села.</w:t>
      </w:r>
    </w:p>
    <w:p>
      <w:pPr>
        <w:pStyle w:val="282"/>
        <w:numPr>
          <w:ilvl w:val="0"/>
          <w:numId w:val="43"/>
        </w:numPr>
        <w:rPr>
          <w:sz w:val="24"/>
        </w:rPr>
      </w:pPr>
      <w:r>
        <w:rPr>
          <w:sz w:val="24"/>
        </w:rPr>
        <w:t>Памятник поставлен на государственную охрану Решением Краснодарского крайисполкома от 29.01.75 г. № 63.</w:t>
      </w:r>
    </w:p>
    <w:p>
      <w:pPr>
        <w:pStyle w:val="282"/>
        <w:numPr>
          <w:ilvl w:val="0"/>
          <w:numId w:val="43"/>
        </w:numPr>
        <w:rPr>
          <w:sz w:val="24"/>
        </w:rPr>
      </w:pPr>
      <w:r>
        <w:rPr>
          <w:sz w:val="24"/>
        </w:rPr>
        <w:t>Место, где была организована первая комсомольская ячейка с. Ейское Укрепление (гос. № 4166). ул. 2-я Пятилетка, 11.</w:t>
      </w:r>
    </w:p>
    <w:p>
      <w:pPr>
        <w:pStyle w:val="282"/>
        <w:numPr>
          <w:ilvl w:val="0"/>
          <w:numId w:val="43"/>
        </w:numPr>
        <w:rPr>
          <w:sz w:val="24"/>
        </w:rPr>
      </w:pPr>
      <w:r>
        <w:rPr>
          <w:sz w:val="24"/>
        </w:rPr>
        <w:t>Памятник поставлен на государственную охрану Решением Краснодарского крайисполкома от 31.08.81 г. № 540.</w:t>
      </w:r>
    </w:p>
    <w:p>
      <w:pPr>
        <w:pStyle w:val="282"/>
        <w:numPr>
          <w:ilvl w:val="0"/>
          <w:numId w:val="43"/>
        </w:numPr>
        <w:rPr>
          <w:sz w:val="24"/>
        </w:rPr>
      </w:pPr>
      <w:r>
        <w:rPr>
          <w:sz w:val="24"/>
        </w:rPr>
        <w:t>Братская могила погибших за власть Советов в годы гражданской войны, 1918-1920 гг. (гос. № 4167). Парк.</w:t>
      </w:r>
    </w:p>
    <w:p>
      <w:pPr>
        <w:pStyle w:val="282"/>
        <w:numPr>
          <w:ilvl w:val="0"/>
          <w:numId w:val="43"/>
        </w:numPr>
        <w:rPr>
          <w:sz w:val="24"/>
        </w:rPr>
      </w:pPr>
      <w:r>
        <w:rPr>
          <w:sz w:val="24"/>
        </w:rPr>
        <w:t>Памятник поставлен на государственную охрану Решением Краснодарского крайисполкома от 29.01.75 г. № 63.</w:t>
      </w:r>
    </w:p>
    <w:p>
      <w:pPr>
        <w:pStyle w:val="282"/>
        <w:numPr>
          <w:ilvl w:val="0"/>
          <w:numId w:val="43"/>
        </w:numPr>
        <w:rPr>
          <w:sz w:val="24"/>
        </w:rPr>
      </w:pPr>
      <w:r>
        <w:rPr>
          <w:sz w:val="24"/>
        </w:rPr>
        <w:t>Могила В.Ф.Гайдукова, командира Первого Тихорецкого коммунистического полка, 1918 г. (гос. № 4168). Парк.</w:t>
      </w:r>
    </w:p>
    <w:p>
      <w:pPr>
        <w:pStyle w:val="282"/>
        <w:numPr>
          <w:ilvl w:val="0"/>
          <w:numId w:val="43"/>
        </w:numPr>
        <w:rPr>
          <w:sz w:val="24"/>
        </w:rPr>
      </w:pPr>
      <w:r>
        <w:rPr>
          <w:sz w:val="24"/>
        </w:rPr>
        <w:t>Памятник поставлен на государственную охрану Решением Краснодарского крайисполкома от 29.01.75 г. № 63.</w:t>
      </w:r>
    </w:p>
    <w:p>
      <w:pPr>
        <w:tabs>
          <w:tab w:val="left" w:pos="1260"/>
          <w:tab w:val="left" w:pos="1413"/>
        </w:tabs>
        <w:ind w:left="360"/>
        <w:jc w:val="both"/>
        <w:rPr>
          <w:sz w:val="28"/>
          <w:szCs w:val="28"/>
        </w:rPr>
      </w:pPr>
    </w:p>
    <w:p>
      <w:pPr>
        <w:pStyle w:val="147"/>
        <w:keepLines/>
        <w:suppressAutoHyphens/>
        <w:spacing w:after="0" w:line="360" w:lineRule="auto"/>
        <w:ind w:left="0" w:firstLine="851"/>
        <w:jc w:val="both"/>
        <w:rPr>
          <w:b/>
        </w:rPr>
      </w:pPr>
      <w:r>
        <w:rPr>
          <w:b/>
        </w:rPr>
        <w:t>Объекты, рекомендуемые к постановке на государственную охрану:</w:t>
      </w:r>
    </w:p>
    <w:p>
      <w:pPr>
        <w:pStyle w:val="147"/>
        <w:keepLines/>
        <w:suppressAutoHyphens/>
        <w:spacing w:after="0" w:line="360" w:lineRule="auto"/>
        <w:ind w:left="0" w:firstLine="851"/>
        <w:jc w:val="both"/>
        <w:rPr>
          <w:b/>
        </w:rPr>
      </w:pPr>
      <w:r>
        <w:rPr>
          <w:b/>
        </w:rPr>
        <w:t>как представляющие историческую ценность:</w:t>
      </w:r>
    </w:p>
    <w:p>
      <w:pPr>
        <w:pStyle w:val="282"/>
        <w:numPr>
          <w:ilvl w:val="0"/>
          <w:numId w:val="43"/>
        </w:numPr>
        <w:rPr>
          <w:sz w:val="24"/>
        </w:rPr>
      </w:pPr>
      <w:r>
        <w:rPr>
          <w:sz w:val="24"/>
        </w:rPr>
        <w:t>Место захоронения жителей села, умерших от голода в 1933 году. Установлен памятный знак. Территория кладбища.</w:t>
      </w:r>
    </w:p>
    <w:p>
      <w:pPr>
        <w:pStyle w:val="147"/>
        <w:keepLines/>
        <w:suppressAutoHyphens/>
        <w:spacing w:after="0" w:line="360" w:lineRule="auto"/>
        <w:ind w:left="0" w:firstLine="851"/>
        <w:jc w:val="both"/>
        <w:rPr>
          <w:b/>
        </w:rPr>
      </w:pPr>
      <w:r>
        <w:rPr>
          <w:b/>
        </w:rPr>
        <w:t>как представляющие архитектурную ценность:</w:t>
      </w:r>
    </w:p>
    <w:p>
      <w:pPr>
        <w:pStyle w:val="282"/>
        <w:numPr>
          <w:ilvl w:val="0"/>
          <w:numId w:val="43"/>
        </w:numPr>
        <w:rPr>
          <w:sz w:val="24"/>
        </w:rPr>
      </w:pPr>
      <w:r>
        <w:rPr>
          <w:sz w:val="24"/>
        </w:rPr>
        <w:t>Дом жилой Донченко, до 1917 г. Ул. 2-я Пятилетка, 4.</w:t>
      </w:r>
    </w:p>
    <w:p>
      <w:pPr>
        <w:pStyle w:val="282"/>
        <w:rPr>
          <w:sz w:val="24"/>
        </w:rPr>
      </w:pPr>
    </w:p>
    <w:p>
      <w:pPr>
        <w:spacing w:before="120" w:after="60" w:line="360" w:lineRule="auto"/>
        <w:ind w:firstLine="567"/>
        <w:jc w:val="both"/>
        <w:rPr>
          <w:rFonts w:eastAsia="Times New Roman"/>
          <w:kern w:val="0"/>
          <w:lang w:eastAsia="ru-RU"/>
        </w:rPr>
      </w:pPr>
      <w:r>
        <w:rPr>
          <w:rFonts w:eastAsia="Times New Roman"/>
          <w:kern w:val="0"/>
          <w:lang w:eastAsia="ru-RU"/>
        </w:rPr>
        <w:t>В 1992 г. Южнороссийским институтом мониторинга земель и экосистем по договору с комитетом по охране, реставрации и эксплуатации историко-культурных ценностей (наследия) Краснодарского края было выполнено дешифрирование аэрофотоматериалов и нанесение выявленных и известных по архивным данным памятников археологии на территории Щербиновского района.</w:t>
      </w:r>
    </w:p>
    <w:p>
      <w:pPr>
        <w:spacing w:line="360" w:lineRule="auto"/>
        <w:ind w:firstLine="709"/>
      </w:pPr>
      <w:r>
        <w:t>В Ейскоукрепленском сельском поселении выявлены памятники археологии, представленных курганными могильниками в виде как отдельно стоящих курганов, так и курганных групп – их перечень приведен в таблице 27.</w:t>
      </w: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p>
    <w:p>
      <w:pPr>
        <w:spacing w:line="240" w:lineRule="auto"/>
        <w:jc w:val="center"/>
        <w:rPr>
          <w:b/>
          <w:bCs/>
        </w:rPr>
      </w:pPr>
      <w:r>
        <w:rPr>
          <w:b/>
          <w:bCs/>
        </w:rPr>
        <w:t xml:space="preserve">Список объектов культурного наследия (памятники археологии), расположенных на территории Ейскоукрепленского сельского поселения </w:t>
      </w:r>
    </w:p>
    <w:p>
      <w:pPr>
        <w:pStyle w:val="147"/>
        <w:numPr>
          <w:ilvl w:val="0"/>
          <w:numId w:val="23"/>
        </w:numPr>
        <w:ind w:right="142"/>
        <w:jc w:val="right"/>
        <w:rPr>
          <w:b/>
          <w:bCs/>
        </w:rPr>
      </w:pPr>
      <w:r>
        <w:rPr>
          <w:b/>
          <w:bCs/>
        </w:rPr>
        <w:t>Таблица 2</w:t>
      </w:r>
      <w:r>
        <w:rPr>
          <w:rFonts w:hint="default"/>
          <w:b/>
          <w:bCs/>
          <w:lang w:val="ru-RU"/>
        </w:rPr>
        <w:t>5</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142"/>
        <w:gridCol w:w="2591"/>
        <w:gridCol w:w="998"/>
        <w:gridCol w:w="1256"/>
        <w:gridCol w:w="1152"/>
        <w:gridCol w:w="576"/>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90" w:type="pct"/>
            <w:tcBorders>
              <w:top w:val="single" w:color="auto" w:sz="4" w:space="0"/>
              <w:left w:val="single" w:color="auto" w:sz="4" w:space="0"/>
              <w:bottom w:val="single" w:color="auto" w:sz="4" w:space="0"/>
              <w:right w:val="single" w:color="auto" w:sz="4" w:space="0"/>
            </w:tcBorders>
            <w:shd w:val="clear" w:color="auto" w:fill="auto"/>
          </w:tcPr>
          <w:p>
            <w:pPr>
              <w:ind w:left="-108" w:right="-108"/>
              <w:jc w:val="center"/>
              <w:rPr>
                <w:b/>
              </w:rPr>
            </w:pPr>
            <w:r>
              <w:rPr>
                <w:b/>
              </w:rPr>
              <w:t>№ кургана или группы</w:t>
            </w:r>
          </w:p>
        </w:tc>
        <w:tc>
          <w:tcPr>
            <w:tcW w:w="870" w:type="pct"/>
            <w:tcBorders>
              <w:top w:val="single" w:color="auto" w:sz="4" w:space="0"/>
              <w:left w:val="single" w:color="auto" w:sz="4" w:space="0"/>
              <w:bottom w:val="single" w:color="auto" w:sz="4" w:space="0"/>
              <w:right w:val="single" w:color="auto" w:sz="4" w:space="0"/>
            </w:tcBorders>
            <w:shd w:val="clear" w:color="auto" w:fill="auto"/>
          </w:tcPr>
          <w:p>
            <w:pPr>
              <w:ind w:right="-108"/>
              <w:jc w:val="center"/>
              <w:rPr>
                <w:b/>
              </w:rPr>
            </w:pPr>
            <w:r>
              <w:rPr>
                <w:b/>
                <w:snapToGrid w:val="0"/>
                <w:color w:val="000000"/>
              </w:rPr>
              <w:t>Наименование объекта</w:t>
            </w:r>
          </w:p>
        </w:tc>
        <w:tc>
          <w:tcPr>
            <w:tcW w:w="1594" w:type="pct"/>
            <w:tcBorders>
              <w:top w:val="single" w:color="auto" w:sz="4" w:space="0"/>
              <w:left w:val="single" w:color="auto" w:sz="4" w:space="0"/>
              <w:bottom w:val="single" w:color="auto" w:sz="4" w:space="0"/>
              <w:right w:val="single" w:color="auto" w:sz="4" w:space="0"/>
            </w:tcBorders>
            <w:shd w:val="clear" w:color="auto" w:fill="auto"/>
          </w:tcPr>
          <w:p>
            <w:pPr>
              <w:jc w:val="center"/>
              <w:rPr>
                <w:b/>
              </w:rPr>
            </w:pPr>
            <w:r>
              <w:rPr>
                <w:b/>
              </w:rPr>
              <w:t>Место расположения объекта</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ind w:left="-108"/>
              <w:jc w:val="center"/>
              <w:rPr>
                <w:b/>
              </w:rPr>
            </w:pPr>
            <w:r>
              <w:rPr>
                <w:b/>
              </w:rPr>
              <w:t>№ кургана в группе</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rPr>
                <w:b/>
              </w:rPr>
            </w:pPr>
            <w:r>
              <w:rPr>
                <w:b/>
              </w:rPr>
              <w:t>Высота курганам</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rPr>
                <w:b/>
              </w:rPr>
            </w:pPr>
            <w:r>
              <w:rPr>
                <w:b/>
              </w:rPr>
              <w:t>Диаметр кургана, м</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rPr>
                <w:b/>
              </w:rPr>
            </w:pPr>
            <w:r>
              <w:rPr>
                <w:b/>
              </w:rPr>
              <w:t>Охранная зона кургана м</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jc w:val="center"/>
              <w:rPr>
                <w:b/>
              </w:rPr>
            </w:pPr>
            <w:r>
              <w:rPr>
                <w:b/>
              </w:rPr>
              <w:t>Состояние памятника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57</w:t>
            </w:r>
          </w:p>
        </w:tc>
        <w:tc>
          <w:tcPr>
            <w:tcW w:w="870" w:type="pct"/>
            <w:tcBorders>
              <w:top w:val="single" w:color="auto" w:sz="4" w:space="0"/>
              <w:left w:val="single" w:color="auto" w:sz="4" w:space="0"/>
              <w:bottom w:val="single" w:color="auto" w:sz="4" w:space="0"/>
              <w:right w:val="single" w:color="auto" w:sz="4" w:space="0"/>
            </w:tcBorders>
            <w:shd w:val="clear" w:color="auto" w:fill="auto"/>
          </w:tcPr>
          <w:p>
            <w:pPr>
              <w:ind w:right="-108" w:firstLine="108"/>
              <w:jc w:val="both"/>
            </w:pPr>
            <w:r>
              <w:t>Курган «Ей Укрепление 1»</w:t>
            </w:r>
          </w:p>
        </w:tc>
        <w:tc>
          <w:tcPr>
            <w:tcW w:w="1594" w:type="pct"/>
            <w:tcBorders>
              <w:top w:val="single" w:color="auto" w:sz="4" w:space="0"/>
              <w:left w:val="single" w:color="auto" w:sz="4" w:space="0"/>
              <w:bottom w:val="single" w:color="auto" w:sz="4" w:space="0"/>
              <w:right w:val="single" w:color="auto" w:sz="4" w:space="0"/>
            </w:tcBorders>
            <w:shd w:val="clear" w:color="auto" w:fill="auto"/>
          </w:tcPr>
          <w:p>
            <w:r>
              <w:t xml:space="preserve">С. Ейское Укрепление </w:t>
            </w:r>
          </w:p>
          <w:p>
            <w:r>
              <w:t>1,6 км к северу от северо-восточной окраины, в 550 м к северу от МТФ №1 колхоза «Лиманский»</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1,6</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47</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75</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Распахан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58</w:t>
            </w:r>
          </w:p>
        </w:tc>
        <w:tc>
          <w:tcPr>
            <w:tcW w:w="870" w:type="pct"/>
            <w:tcBorders>
              <w:top w:val="single" w:color="auto" w:sz="4" w:space="0"/>
              <w:left w:val="single" w:color="auto" w:sz="4" w:space="0"/>
              <w:bottom w:val="single" w:color="auto" w:sz="4" w:space="0"/>
              <w:right w:val="single" w:color="auto" w:sz="4" w:space="0"/>
            </w:tcBorders>
            <w:shd w:val="clear" w:color="auto" w:fill="auto"/>
          </w:tcPr>
          <w:p>
            <w:pPr>
              <w:ind w:right="-108" w:firstLine="108"/>
              <w:jc w:val="both"/>
            </w:pPr>
            <w:r>
              <w:t>Курган «Ей Укрепление 2»</w:t>
            </w:r>
          </w:p>
        </w:tc>
        <w:tc>
          <w:tcPr>
            <w:tcW w:w="1594" w:type="pct"/>
            <w:tcBorders>
              <w:top w:val="single" w:color="auto" w:sz="4" w:space="0"/>
              <w:left w:val="single" w:color="auto" w:sz="4" w:space="0"/>
              <w:bottom w:val="single" w:color="auto" w:sz="4" w:space="0"/>
              <w:right w:val="single" w:color="auto" w:sz="4" w:space="0"/>
            </w:tcBorders>
            <w:shd w:val="clear" w:color="auto" w:fill="auto"/>
          </w:tcPr>
          <w:p>
            <w:r>
              <w:t xml:space="preserve">С. Ейское Укрепление </w:t>
            </w:r>
          </w:p>
          <w:p>
            <w:r>
              <w:t>1,05 км к северу от северо-восточной окраины, на территории МТФ №1 колхоза «Лиманский»</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2,2</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55</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125</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Задернован, через вост. полу насыпи проходит асфальт. дорога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64</w:t>
            </w:r>
          </w:p>
        </w:tc>
        <w:tc>
          <w:tcPr>
            <w:tcW w:w="870" w:type="pct"/>
            <w:tcBorders>
              <w:top w:val="single" w:color="auto" w:sz="4" w:space="0"/>
              <w:left w:val="single" w:color="auto" w:sz="4" w:space="0"/>
              <w:bottom w:val="single" w:color="auto" w:sz="4" w:space="0"/>
              <w:right w:val="single" w:color="auto" w:sz="4" w:space="0"/>
            </w:tcBorders>
            <w:shd w:val="clear" w:color="auto" w:fill="auto"/>
          </w:tcPr>
          <w:p>
            <w:pPr>
              <w:ind w:right="-108" w:firstLine="108"/>
              <w:jc w:val="both"/>
            </w:pPr>
            <w:r>
              <w:t>Курган «Ей Укрепление 3»</w:t>
            </w:r>
          </w:p>
        </w:tc>
        <w:tc>
          <w:tcPr>
            <w:tcW w:w="1594" w:type="pct"/>
            <w:tcBorders>
              <w:top w:val="single" w:color="auto" w:sz="4" w:space="0"/>
              <w:left w:val="single" w:color="auto" w:sz="4" w:space="0"/>
              <w:bottom w:val="single" w:color="auto" w:sz="4" w:space="0"/>
              <w:right w:val="single" w:color="auto" w:sz="4" w:space="0"/>
            </w:tcBorders>
            <w:shd w:val="clear" w:color="auto" w:fill="auto"/>
          </w:tcPr>
          <w:p>
            <w:r>
              <w:t>С. Ейское Укрепление юго-восточной части села на пересечения улиц Делегатской и 3-го Интернационала</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1,7</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51</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75</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Застроен, западная часть подрезана асфальтной дорогой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65</w:t>
            </w:r>
          </w:p>
        </w:tc>
        <w:tc>
          <w:tcPr>
            <w:tcW w:w="870" w:type="pct"/>
            <w:tcBorders>
              <w:top w:val="single" w:color="auto" w:sz="4" w:space="0"/>
              <w:left w:val="single" w:color="auto" w:sz="4" w:space="0"/>
              <w:bottom w:val="single" w:color="auto" w:sz="4" w:space="0"/>
              <w:right w:val="single" w:color="auto" w:sz="4" w:space="0"/>
            </w:tcBorders>
            <w:shd w:val="clear" w:color="auto" w:fill="auto"/>
          </w:tcPr>
          <w:p>
            <w:pPr>
              <w:ind w:right="-108" w:firstLine="108"/>
            </w:pPr>
            <w:r>
              <w:t>Курган «Могила Концева»</w:t>
            </w:r>
          </w:p>
        </w:tc>
        <w:tc>
          <w:tcPr>
            <w:tcW w:w="1594" w:type="pct"/>
            <w:tcBorders>
              <w:top w:val="single" w:color="auto" w:sz="4" w:space="0"/>
              <w:left w:val="single" w:color="auto" w:sz="4" w:space="0"/>
              <w:bottom w:val="single" w:color="auto" w:sz="4" w:space="0"/>
              <w:right w:val="single" w:color="auto" w:sz="4" w:space="0"/>
            </w:tcBorders>
            <w:shd w:val="clear" w:color="auto" w:fill="auto"/>
          </w:tcPr>
          <w:p>
            <w:r>
              <w:t xml:space="preserve">С. Ейское Укрепление </w:t>
            </w:r>
          </w:p>
          <w:p>
            <w:r>
              <w:t>3,3 км к ВСВ от СВ окраины, 2 км к ВЮВ от ПТФ</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w:t>
            </w:r>
          </w:p>
          <w:p>
            <w:pPr>
              <w:jc w:val="center"/>
            </w:pP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1,5</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45</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75</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Распахан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 w:hRule="atLeast"/>
        </w:trPr>
        <w:tc>
          <w:tcPr>
            <w:tcW w:w="290" w:type="pct"/>
            <w:vMerge w:val="restart"/>
            <w:tcBorders>
              <w:top w:val="single" w:color="auto" w:sz="4" w:space="0"/>
              <w:left w:val="single" w:color="auto" w:sz="4" w:space="0"/>
              <w:bottom w:val="single" w:color="auto" w:sz="4" w:space="0"/>
              <w:right w:val="single" w:color="auto" w:sz="4" w:space="0"/>
            </w:tcBorders>
            <w:shd w:val="clear" w:color="auto" w:fill="auto"/>
          </w:tcPr>
          <w:p>
            <w:pPr>
              <w:jc w:val="both"/>
              <w:rPr>
                <w:lang w:val="en-US"/>
              </w:rPr>
            </w:pPr>
            <w:r>
              <w:rPr>
                <w:lang w:val="en-US"/>
              </w:rPr>
              <w:t>66</w:t>
            </w:r>
          </w:p>
        </w:tc>
        <w:tc>
          <w:tcPr>
            <w:tcW w:w="870" w:type="pct"/>
            <w:vMerge w:val="restart"/>
            <w:tcBorders>
              <w:top w:val="single" w:color="auto" w:sz="4" w:space="0"/>
              <w:left w:val="single" w:color="auto" w:sz="4" w:space="0"/>
              <w:bottom w:val="single" w:color="auto" w:sz="4" w:space="0"/>
              <w:right w:val="single" w:color="auto" w:sz="4" w:space="0"/>
            </w:tcBorders>
            <w:shd w:val="clear" w:color="auto" w:fill="auto"/>
          </w:tcPr>
          <w:p>
            <w:pPr>
              <w:ind w:right="-108"/>
            </w:pPr>
            <w:r>
              <w:t>Курганная группа «Высокая могила» (2 насыпи)</w:t>
            </w:r>
          </w:p>
        </w:tc>
        <w:tc>
          <w:tcPr>
            <w:tcW w:w="1594" w:type="pct"/>
            <w:vMerge w:val="restart"/>
            <w:tcBorders>
              <w:top w:val="single" w:color="auto" w:sz="4" w:space="0"/>
              <w:left w:val="single" w:color="auto" w:sz="4" w:space="0"/>
              <w:bottom w:val="single" w:color="auto" w:sz="4" w:space="0"/>
              <w:right w:val="single" w:color="auto" w:sz="4" w:space="0"/>
            </w:tcBorders>
            <w:shd w:val="clear" w:color="auto" w:fill="auto"/>
          </w:tcPr>
          <w:p>
            <w:r>
              <w:t>С. Ейское Укрепление</w:t>
            </w:r>
          </w:p>
          <w:p>
            <w:r>
              <w:t xml:space="preserve"> 7,8 км к СВ от СВ окраины, 2,3 км к В от МТФ</w:t>
            </w:r>
          </w:p>
        </w:tc>
        <w:tc>
          <w:tcPr>
            <w:tcW w:w="435" w:type="pct"/>
            <w:tcBorders>
              <w:top w:val="single" w:color="auto" w:sz="4" w:space="0"/>
              <w:left w:val="single" w:color="auto" w:sz="4" w:space="0"/>
              <w:bottom w:val="single" w:color="auto" w:sz="4" w:space="0"/>
              <w:right w:val="single" w:color="auto" w:sz="4" w:space="0"/>
            </w:tcBorders>
            <w:shd w:val="clear" w:color="auto" w:fill="auto"/>
          </w:tcPr>
          <w:p>
            <w:pPr>
              <w:ind w:left="-108" w:right="-108"/>
              <w:jc w:val="center"/>
            </w:pPr>
            <w:r>
              <w:t>1</w:t>
            </w:r>
          </w:p>
          <w:p>
            <w:pPr>
              <w:ind w:left="-108" w:right="-108"/>
              <w:jc w:val="center"/>
            </w:pPr>
            <w:r>
              <w:t>курган</w:t>
            </w:r>
          </w:p>
          <w:p>
            <w:pPr>
              <w:ind w:left="-108" w:right="-108"/>
              <w:jc w:val="center"/>
            </w:pPr>
            <w:r>
              <w:t>«Высокая моги-ла»</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1,6</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48</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75</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Распахан, на насыпи – триангуляционный пункт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8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15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2</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0,3</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35</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50</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rPr>
                <w:bCs/>
              </w:rPr>
            </w:pPr>
            <w:r>
              <w:rPr>
                <w:bCs/>
              </w:rPr>
              <w:t>Распахан,</w:t>
            </w:r>
          </w:p>
          <w:p>
            <w:pPr>
              <w:ind w:right="12"/>
            </w:pPr>
            <w:r>
              <w:rPr>
                <w:bCs/>
              </w:rPr>
              <w:t>западная часть находится в лесополосе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8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15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435" w:type="pct"/>
            <w:tcBorders>
              <w:top w:val="single" w:color="auto" w:sz="4" w:space="0"/>
              <w:left w:val="single" w:color="auto" w:sz="4" w:space="0"/>
              <w:bottom w:val="single" w:color="auto" w:sz="4" w:space="0"/>
              <w:right w:val="single" w:color="auto" w:sz="4" w:space="0"/>
            </w:tcBorders>
            <w:shd w:val="clear" w:color="auto" w:fill="auto"/>
          </w:tcPr>
          <w:p>
            <w:pPr>
              <w:jc w:val="center"/>
            </w:pPr>
            <w:r>
              <w:t>2</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center"/>
            </w:pPr>
            <w:r>
              <w:t>0,3</w:t>
            </w:r>
          </w:p>
        </w:tc>
        <w:tc>
          <w:tcPr>
            <w:tcW w:w="290" w:type="pct"/>
            <w:tcBorders>
              <w:top w:val="single" w:color="auto" w:sz="4" w:space="0"/>
              <w:left w:val="single" w:color="auto" w:sz="4" w:space="0"/>
              <w:bottom w:val="single" w:color="auto" w:sz="4" w:space="0"/>
              <w:right w:val="single" w:color="auto" w:sz="4" w:space="0"/>
            </w:tcBorders>
            <w:shd w:val="clear" w:color="auto" w:fill="auto"/>
          </w:tcPr>
          <w:p>
            <w:pPr>
              <w:jc w:val="both"/>
            </w:pPr>
            <w:r>
              <w:t>33</w:t>
            </w:r>
          </w:p>
        </w:tc>
        <w:tc>
          <w:tcPr>
            <w:tcW w:w="362" w:type="pct"/>
            <w:tcBorders>
              <w:top w:val="single" w:color="auto" w:sz="4" w:space="0"/>
              <w:left w:val="single" w:color="auto" w:sz="4" w:space="0"/>
              <w:bottom w:val="single" w:color="auto" w:sz="4" w:space="0"/>
              <w:right w:val="single" w:color="auto" w:sz="4" w:space="0"/>
            </w:tcBorders>
            <w:shd w:val="clear" w:color="auto" w:fill="auto"/>
          </w:tcPr>
          <w:p>
            <w:pPr>
              <w:jc w:val="both"/>
            </w:pPr>
            <w:r>
              <w:t>50</w:t>
            </w:r>
          </w:p>
        </w:tc>
        <w:tc>
          <w:tcPr>
            <w:tcW w:w="797" w:type="pct"/>
            <w:tcBorders>
              <w:top w:val="single" w:color="auto" w:sz="4" w:space="0"/>
              <w:left w:val="single" w:color="auto" w:sz="4" w:space="0"/>
              <w:bottom w:val="single" w:color="auto" w:sz="4" w:space="0"/>
              <w:right w:val="single" w:color="auto" w:sz="4" w:space="0"/>
            </w:tcBorders>
            <w:shd w:val="clear" w:color="auto" w:fill="auto"/>
          </w:tcPr>
          <w:p>
            <w:pPr>
              <w:ind w:right="12"/>
              <w:jc w:val="both"/>
            </w:pPr>
            <w:r>
              <w:rPr>
                <w:bCs/>
              </w:rPr>
              <w:t>Распахан, сев. пола перекрывает южную полу кургана 170</w:t>
            </w:r>
          </w:p>
        </w:tc>
      </w:tr>
    </w:tbl>
    <w:p>
      <w:pPr>
        <w:rPr>
          <w:sz w:val="28"/>
          <w:szCs w:val="28"/>
          <w:highlight w:val="yellow"/>
        </w:rPr>
      </w:pPr>
    </w:p>
    <w:p>
      <w:pPr>
        <w:spacing w:line="360" w:lineRule="auto"/>
        <w:ind w:firstLine="709"/>
      </w:pPr>
      <w:r>
        <w:t xml:space="preserve">В целях обеспечения сохранности объектов культурного наследия в его исторической среде на сопряженной с ним территории вокруг памятников историко-культурного назначения определены зоны охраны объекта культурного наследия. </w:t>
      </w:r>
    </w:p>
    <w:p>
      <w:pPr>
        <w:spacing w:line="360" w:lineRule="auto"/>
        <w:ind w:firstLine="709"/>
      </w:pPr>
      <w:r>
        <w:t xml:space="preserve">В соответствии с </w:t>
      </w:r>
      <w:r>
        <w:rPr>
          <w:rFonts w:eastAsia="Times New Roman"/>
          <w:kern w:val="0"/>
          <w:lang w:eastAsia="ru-RU"/>
        </w:rPr>
        <w:t>законом Краснодарского края от 23.07.2015 №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r>
        <w:t xml:space="preserve"> устанавливаются основные требования к отнесению земельных участков, занятых памятниками истории и культуры, к землям историко-культурного назначения, порядок их охраны и использования, а также порядок определения границ (в том числе временных), режима содержания и использования зон охраны памятников истории и культуры, исторических поселений и историко-культурных заповедников, расположенных на территории Краснодарского края. Режим временной охранной зоны действует до разработки в установленном порядке проекта зон охраны данного памятника. При рассмотрении вопросов нового строительства в границах временной охранной зоны необходимо проведение тщательного исторического и градостроительного анализа, на основе которого определяется система ограничений (регламентов) которые фиксируются проектом зон охраны.</w:t>
      </w:r>
    </w:p>
    <w:p>
      <w:pPr>
        <w:spacing w:line="360" w:lineRule="auto"/>
        <w:ind w:firstLine="709"/>
      </w:pPr>
      <w:r>
        <w:t>На данной стадии выполнения работ определены временные границы зон охраны, которые показаны на графических материалах генерального плана.</w:t>
      </w:r>
    </w:p>
    <w:p>
      <w:pPr>
        <w:spacing w:line="360" w:lineRule="auto"/>
        <w:ind w:firstLine="709"/>
      </w:pPr>
      <w:r>
        <w:t xml:space="preserve">В соответствии с вышеуказанным Законом, для сохранения объектов культурного наследия, устанавливаются следующие временные границы зон охраны: </w:t>
      </w:r>
    </w:p>
    <w:p>
      <w:pPr>
        <w:pStyle w:val="282"/>
        <w:numPr>
          <w:ilvl w:val="0"/>
          <w:numId w:val="43"/>
        </w:numPr>
        <w:rPr>
          <w:sz w:val="24"/>
        </w:rPr>
      </w:pPr>
      <w:r>
        <w:rPr>
          <w:sz w:val="24"/>
        </w:rPr>
        <w:t>для памятников архитектуры – в размере 100 метров от границ памятника по всему его периметру;</w:t>
      </w:r>
    </w:p>
    <w:p>
      <w:pPr>
        <w:pStyle w:val="282"/>
        <w:numPr>
          <w:ilvl w:val="0"/>
          <w:numId w:val="43"/>
        </w:numPr>
        <w:rPr>
          <w:sz w:val="24"/>
        </w:rPr>
      </w:pPr>
      <w:r>
        <w:rPr>
          <w:sz w:val="24"/>
        </w:rPr>
        <w:t>для памятников истории – в размере 60 метров от границ памятника по всему его периметру;</w:t>
      </w:r>
    </w:p>
    <w:p>
      <w:pPr>
        <w:pStyle w:val="282"/>
        <w:numPr>
          <w:ilvl w:val="0"/>
          <w:numId w:val="43"/>
        </w:numPr>
        <w:rPr>
          <w:sz w:val="24"/>
        </w:rPr>
      </w:pPr>
      <w:r>
        <w:rPr>
          <w:sz w:val="24"/>
        </w:rPr>
        <w:t>для памятников монументального искусства – в размере 40 метров от границ памятника по всему его периметру.</w:t>
      </w:r>
    </w:p>
    <w:p>
      <w:pPr>
        <w:pStyle w:val="282"/>
        <w:numPr>
          <w:ilvl w:val="0"/>
          <w:numId w:val="43"/>
        </w:numPr>
        <w:rPr>
          <w:sz w:val="24"/>
        </w:rPr>
      </w:pPr>
      <w:r>
        <w:rPr>
          <w:sz w:val="24"/>
        </w:rPr>
        <w:t>для памятников археологии – для курганов высотой:</w:t>
      </w:r>
    </w:p>
    <w:p>
      <w:pPr>
        <w:pStyle w:val="282"/>
        <w:numPr>
          <w:ilvl w:val="0"/>
          <w:numId w:val="47"/>
        </w:numPr>
        <w:rPr>
          <w:sz w:val="24"/>
        </w:rPr>
      </w:pPr>
      <w:r>
        <w:rPr>
          <w:sz w:val="24"/>
        </w:rPr>
        <w:t>до 1 метра - 50 метров от подошвы кургана по всему его периметру;</w:t>
      </w:r>
    </w:p>
    <w:p>
      <w:pPr>
        <w:pStyle w:val="282"/>
        <w:numPr>
          <w:ilvl w:val="0"/>
          <w:numId w:val="47"/>
        </w:numPr>
        <w:rPr>
          <w:sz w:val="24"/>
        </w:rPr>
      </w:pPr>
      <w:r>
        <w:rPr>
          <w:sz w:val="24"/>
        </w:rPr>
        <w:t>до 2 метров - 75 метров от подошвы кургана по всему его периметру;</w:t>
      </w:r>
    </w:p>
    <w:p>
      <w:pPr>
        <w:pStyle w:val="282"/>
        <w:numPr>
          <w:ilvl w:val="0"/>
          <w:numId w:val="47"/>
        </w:numPr>
        <w:rPr>
          <w:sz w:val="24"/>
        </w:rPr>
      </w:pPr>
      <w:r>
        <w:rPr>
          <w:sz w:val="24"/>
        </w:rPr>
        <w:t>до 3 метров - 125 метров от подошвы кургана по всему его периметру;</w:t>
      </w:r>
    </w:p>
    <w:p>
      <w:pPr>
        <w:pStyle w:val="282"/>
        <w:numPr>
          <w:ilvl w:val="0"/>
          <w:numId w:val="47"/>
        </w:numPr>
        <w:rPr>
          <w:sz w:val="24"/>
        </w:rPr>
      </w:pPr>
      <w:r>
        <w:rPr>
          <w:sz w:val="24"/>
        </w:rPr>
        <w:t>свыше 3 метров - 150 метров от подошвы кургана по всему его периметру.</w:t>
      </w:r>
    </w:p>
    <w:p>
      <w:pPr>
        <w:pStyle w:val="4"/>
        <w:keepNext w:val="0"/>
        <w:keepLines w:val="0"/>
        <w:suppressAutoHyphens/>
        <w:spacing w:before="360" w:after="240" w:line="360" w:lineRule="auto"/>
        <w:jc w:val="center"/>
        <w:rPr>
          <w:rFonts w:ascii="Times New Roman" w:hAnsi="Times New Roman"/>
          <w:color w:val="auto"/>
          <w:kern w:val="32"/>
          <w:sz w:val="28"/>
          <w:szCs w:val="28"/>
          <w:lang w:eastAsia="ru-RU"/>
        </w:rPr>
      </w:pPr>
      <w:bookmarkStart w:id="202" w:name="_Toc57203229"/>
      <w:r>
        <w:rPr>
          <w:rFonts w:ascii="Times New Roman" w:hAnsi="Times New Roman"/>
          <w:color w:val="auto"/>
          <w:kern w:val="32"/>
          <w:sz w:val="28"/>
          <w:szCs w:val="28"/>
          <w:lang w:eastAsia="ru-RU"/>
        </w:rPr>
        <w:t>2.13.3 Водоохранные зоны и прибрежные защитные полосы</w:t>
      </w:r>
      <w:bookmarkEnd w:id="199"/>
      <w:bookmarkEnd w:id="200"/>
      <w:bookmarkEnd w:id="201"/>
      <w:bookmarkEnd w:id="202"/>
    </w:p>
    <w:p>
      <w:pPr>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соответствии со статьей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pPr>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Размеры и границы водоохранных зон, а также режим их использования утверждены статьей 65 Водного кодекса РФ.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Ширина водоохраной зоны рек или ручьев устанавливается от их истока для рек или ручьев протяженностью:</w:t>
      </w:r>
    </w:p>
    <w:p>
      <w:pPr>
        <w:pStyle w:val="282"/>
        <w:numPr>
          <w:ilvl w:val="0"/>
          <w:numId w:val="43"/>
        </w:numPr>
        <w:rPr>
          <w:sz w:val="24"/>
        </w:rPr>
      </w:pPr>
      <w:r>
        <w:rPr>
          <w:sz w:val="24"/>
        </w:rPr>
        <w:t>до десяти километров – в размере пятидесяти метров;</w:t>
      </w:r>
    </w:p>
    <w:p>
      <w:pPr>
        <w:pStyle w:val="282"/>
        <w:numPr>
          <w:ilvl w:val="0"/>
          <w:numId w:val="43"/>
        </w:numPr>
        <w:rPr>
          <w:sz w:val="24"/>
        </w:rPr>
      </w:pPr>
      <w:r>
        <w:rPr>
          <w:sz w:val="24"/>
        </w:rPr>
        <w:t>от десяти до пятидесяти километров – в размере ста метров;</w:t>
      </w:r>
    </w:p>
    <w:p>
      <w:pPr>
        <w:pStyle w:val="282"/>
        <w:numPr>
          <w:ilvl w:val="0"/>
          <w:numId w:val="43"/>
        </w:numPr>
        <w:rPr>
          <w:sz w:val="24"/>
        </w:rPr>
      </w:pPr>
      <w:r>
        <w:rPr>
          <w:sz w:val="24"/>
        </w:rPr>
        <w:t>от пятидесяти километров и более – в размере двухсот метров.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Радиус водоохранной зоны для истоков реки, ручья устанавливается в размере пятидесяти метров.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Водоохранные зоны магистральных или межхозяйственных каналов совпадают по ширине с полосами отводов таких каналов.</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keepNext/>
        <w:keepLines/>
        <w:suppressAutoHyphens/>
        <w:spacing w:before="120" w:after="120" w:line="360" w:lineRule="auto"/>
        <w:jc w:val="center"/>
        <w:rPr>
          <w:rFonts w:eastAsia="Times New Roman"/>
          <w:b/>
          <w:lang w:eastAsia="ru-RU"/>
        </w:rPr>
      </w:pPr>
      <w:r>
        <w:rPr>
          <w:rFonts w:eastAsia="Times New Roman"/>
          <w:b/>
          <w:lang w:eastAsia="ru-RU"/>
        </w:rPr>
        <w:t>Местоположение границ водоохранных зон (ВЗ)</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границах водоохранных зон запрещаются:</w:t>
      </w:r>
    </w:p>
    <w:p>
      <w:pPr>
        <w:pStyle w:val="282"/>
        <w:numPr>
          <w:ilvl w:val="0"/>
          <w:numId w:val="43"/>
        </w:numPr>
        <w:rPr>
          <w:sz w:val="24"/>
        </w:rPr>
      </w:pPr>
      <w:r>
        <w:rPr>
          <w:sz w:val="24"/>
        </w:rPr>
        <w:t>использование сточных вод для удобрения почв;</w:t>
      </w:r>
    </w:p>
    <w:p>
      <w:pPr>
        <w:pStyle w:val="282"/>
        <w:numPr>
          <w:ilvl w:val="0"/>
          <w:numId w:val="43"/>
        </w:numPr>
        <w:rPr>
          <w:sz w:val="24"/>
        </w:rPr>
      </w:pPr>
      <w:r>
        <w:rPr>
          <w:sz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pPr>
        <w:pStyle w:val="282"/>
        <w:numPr>
          <w:ilvl w:val="0"/>
          <w:numId w:val="43"/>
        </w:numPr>
        <w:rPr>
          <w:sz w:val="24"/>
        </w:rPr>
      </w:pPr>
      <w:r>
        <w:rPr>
          <w:sz w:val="24"/>
        </w:rPr>
        <w:t>осуществление авиационных мер по борьбе с вредителями и болезнями растений;</w:t>
      </w:r>
    </w:p>
    <w:p>
      <w:pPr>
        <w:pStyle w:val="282"/>
        <w:numPr>
          <w:ilvl w:val="0"/>
          <w:numId w:val="43"/>
        </w:numPr>
        <w:rPr>
          <w:sz w:val="24"/>
        </w:rPr>
      </w:pPr>
      <w:r>
        <w:rPr>
          <w:sz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r>
        <w:fldChar w:fldCharType="begin"/>
      </w:r>
      <w:r>
        <w:instrText xml:space="preserve"> HYPERLINK "consultantplus://offline/ref=DE076185D68FCE15C74F237892123A930F1401EA06F090BCD9C02932DE7366A05AF7F66453CC0A76OA7CN" </w:instrText>
      </w:r>
      <w:r>
        <w:fldChar w:fldCharType="separate"/>
      </w:r>
      <w:r>
        <w:rPr>
          <w:rFonts w:eastAsia="Times New Roman"/>
          <w:kern w:val="0"/>
          <w:lang w:eastAsia="ru-RU"/>
        </w:rPr>
        <w:t>законодательством</w:t>
      </w:r>
      <w:r>
        <w:rPr>
          <w:rFonts w:eastAsia="Times New Roman"/>
          <w:kern w:val="0"/>
          <w:lang w:eastAsia="ru-RU"/>
        </w:rPr>
        <w:fldChar w:fldCharType="end"/>
      </w:r>
      <w:r>
        <w:rPr>
          <w:rFonts w:eastAsia="Times New Roman"/>
          <w:kern w:val="0"/>
          <w:lang w:eastAsia="ru-RU"/>
        </w:rPr>
        <w:t xml:space="preserve"> в области охраны окружающей среды.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лесах водоохранных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мероприятий, обеспечивающих охрану водных объектов.</w:t>
      </w:r>
    </w:p>
    <w:p>
      <w:pPr>
        <w:keepNext/>
        <w:keepLines/>
        <w:suppressAutoHyphens/>
        <w:spacing w:after="0" w:line="360" w:lineRule="auto"/>
        <w:jc w:val="center"/>
        <w:rPr>
          <w:rFonts w:eastAsia="Times New Roman"/>
          <w:b/>
          <w:lang w:eastAsia="ru-RU"/>
        </w:rPr>
      </w:pPr>
      <w:r>
        <w:rPr>
          <w:rFonts w:eastAsia="Times New Roman"/>
          <w:b/>
          <w:lang w:eastAsia="ru-RU"/>
        </w:rPr>
        <w:t>Границы прибрежных защитных полос (ПЗП)</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реки, ручья протяженностью менее десяти километров от истока до устья водоохранная зона совпадает с прибрежной защитной полосой.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Прибрежную защитную полосу водных объектов муниципального образования необходимо установить шириной от 30 до 50 м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границах прибрежных защитных полос наряду с установленными для водоохранных зон ограничениями запрещаются:</w:t>
      </w:r>
    </w:p>
    <w:p>
      <w:pPr>
        <w:pStyle w:val="282"/>
        <w:numPr>
          <w:ilvl w:val="0"/>
          <w:numId w:val="43"/>
        </w:numPr>
        <w:rPr>
          <w:sz w:val="24"/>
        </w:rPr>
      </w:pPr>
      <w:r>
        <w:rPr>
          <w:sz w:val="24"/>
        </w:rPr>
        <w:t>распашка земель;</w:t>
      </w:r>
    </w:p>
    <w:p>
      <w:pPr>
        <w:pStyle w:val="282"/>
        <w:numPr>
          <w:ilvl w:val="0"/>
          <w:numId w:val="43"/>
        </w:numPr>
        <w:rPr>
          <w:sz w:val="24"/>
        </w:rPr>
      </w:pPr>
      <w:r>
        <w:rPr>
          <w:sz w:val="24"/>
        </w:rPr>
        <w:t>размещение отвалов размываемых грунтов;</w:t>
      </w:r>
    </w:p>
    <w:p>
      <w:pPr>
        <w:pStyle w:val="282"/>
        <w:numPr>
          <w:ilvl w:val="0"/>
          <w:numId w:val="43"/>
        </w:numPr>
        <w:rPr>
          <w:sz w:val="24"/>
        </w:rPr>
      </w:pPr>
      <w:r>
        <w:rPr>
          <w:sz w:val="24"/>
        </w:rPr>
        <w:t>выпас муниципальнохозяйственных животных и организация для них летних лагерей, ванн.</w:t>
      </w:r>
    </w:p>
    <w:p>
      <w:pPr>
        <w:widowControl w:val="0"/>
        <w:suppressAutoHyphens/>
        <w:spacing w:after="0" w:line="360" w:lineRule="auto"/>
        <w:ind w:firstLine="851"/>
        <w:jc w:val="both"/>
        <w:rPr>
          <w:rFonts w:eastAsia="Times New Roman"/>
          <w:lang w:eastAsia="ru-RU"/>
        </w:rPr>
      </w:pPr>
      <w:r>
        <w:rPr>
          <w:rFonts w:eastAsia="Times New Roman"/>
          <w:lang w:eastAsia="ru-RU"/>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r>
        <w:fldChar w:fldCharType="begin"/>
      </w:r>
      <w:r>
        <w:instrText xml:space="preserve"> HYPERLINK "consultantplus://offline/ref=DE076185D68FCE15C74F237892123A93061407E505FFCDB6D1992530D97C39B75DBEFA6553CC09O77EN" </w:instrText>
      </w:r>
      <w:r>
        <w:fldChar w:fldCharType="separate"/>
      </w:r>
      <w:r>
        <w:rPr>
          <w:rFonts w:eastAsia="Times New Roman"/>
          <w:lang w:eastAsia="ru-RU"/>
        </w:rPr>
        <w:t>порядке</w:t>
      </w:r>
      <w:r>
        <w:rPr>
          <w:rFonts w:eastAsia="Times New Roman"/>
          <w:lang w:eastAsia="ru-RU"/>
        </w:rPr>
        <w:fldChar w:fldCharType="end"/>
      </w:r>
      <w:r>
        <w:rPr>
          <w:rFonts w:eastAsia="Times New Roman"/>
          <w:lang w:eastAsia="ru-RU"/>
        </w:rPr>
        <w:t>, установленном Правительством Российской Федерации.</w:t>
      </w:r>
    </w:p>
    <w:p>
      <w:pPr>
        <w:keepLines/>
        <w:suppressAutoHyphens/>
        <w:spacing w:after="0" w:line="360" w:lineRule="auto"/>
        <w:ind w:firstLine="851"/>
        <w:jc w:val="both"/>
        <w:rPr>
          <w:rFonts w:eastAsia="Times New Roman"/>
          <w:lang w:eastAsia="ru-RU"/>
        </w:rPr>
      </w:pPr>
      <w:r>
        <w:rPr>
          <w:rFonts w:eastAsia="Times New Roman"/>
          <w:lang w:eastAsia="ru-RU"/>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pPr>
        <w:pStyle w:val="4"/>
        <w:suppressAutoHyphens/>
        <w:spacing w:before="360" w:after="240" w:line="360" w:lineRule="auto"/>
        <w:jc w:val="center"/>
        <w:rPr>
          <w:rFonts w:ascii="Times New Roman" w:hAnsi="Times New Roman"/>
          <w:color w:val="auto"/>
          <w:kern w:val="32"/>
          <w:sz w:val="28"/>
          <w:szCs w:val="28"/>
          <w:lang w:eastAsia="ru-RU"/>
        </w:rPr>
      </w:pPr>
      <w:bookmarkStart w:id="203" w:name="_Toc353437956"/>
      <w:bookmarkStart w:id="204" w:name="_Toc57203230"/>
      <w:r>
        <w:rPr>
          <w:rFonts w:ascii="Times New Roman" w:hAnsi="Times New Roman"/>
          <w:color w:val="auto"/>
          <w:kern w:val="32"/>
          <w:sz w:val="28"/>
          <w:szCs w:val="28"/>
          <w:lang w:eastAsia="ru-RU"/>
        </w:rPr>
        <w:t>2.13.4 Зоны санитарной охраны источников питьевого водоснабжения</w:t>
      </w:r>
      <w:bookmarkEnd w:id="203"/>
      <w:bookmarkEnd w:id="204"/>
    </w:p>
    <w:p>
      <w:pPr>
        <w:keepLines/>
        <w:widowControl w:val="0"/>
        <w:suppressAutoHyphens/>
        <w:adjustRightInd w:val="0"/>
        <w:spacing w:after="0" w:line="360" w:lineRule="auto"/>
        <w:ind w:firstLine="851"/>
        <w:jc w:val="both"/>
        <w:textAlignment w:val="baseline"/>
        <w:rPr>
          <w:rFonts w:eastAsia="Times New Roman"/>
          <w:kern w:val="0"/>
          <w:lang w:eastAsia="ru-RU"/>
        </w:rPr>
      </w:pPr>
      <w:bookmarkStart w:id="205" w:name="_Toc315701260"/>
      <w:bookmarkEnd w:id="205"/>
      <w:bookmarkStart w:id="206" w:name="_Toc315701267"/>
      <w:bookmarkEnd w:id="206"/>
      <w:bookmarkStart w:id="207" w:name="_Toc315701262"/>
      <w:bookmarkEnd w:id="207"/>
      <w:bookmarkStart w:id="208" w:name="_Toc315701263"/>
      <w:bookmarkEnd w:id="208"/>
      <w:bookmarkStart w:id="209" w:name="_Toc315701264"/>
      <w:bookmarkEnd w:id="209"/>
      <w:bookmarkStart w:id="210" w:name="_Toc315701266"/>
      <w:bookmarkEnd w:id="210"/>
      <w:bookmarkStart w:id="211" w:name="_Toc315701261"/>
      <w:bookmarkEnd w:id="211"/>
      <w:bookmarkStart w:id="212" w:name="_Toc315701268"/>
      <w:bookmarkEnd w:id="212"/>
      <w:bookmarkStart w:id="213" w:name="_Toc315701259"/>
      <w:bookmarkEnd w:id="213"/>
      <w:bookmarkStart w:id="214" w:name="_Toc315701265"/>
      <w:bookmarkEnd w:id="214"/>
      <w:bookmarkStart w:id="215" w:name="_Toc315701270"/>
      <w:bookmarkEnd w:id="215"/>
      <w:bookmarkStart w:id="216" w:name="_Toc315701269"/>
      <w:bookmarkEnd w:id="216"/>
      <w:bookmarkStart w:id="217" w:name="_Toc315701258"/>
      <w:bookmarkEnd w:id="217"/>
      <w:r>
        <w:rPr>
          <w:rFonts w:eastAsia="Times New Roman"/>
          <w:kern w:val="0"/>
          <w:lang w:eastAsia="ru-RU"/>
        </w:rPr>
        <w:t>Утвержденные проекты по установлению Зоны санитарной охраны источников водоснабжения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соответствии с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Актуализированная редакция СНиП 2.04.02-84*», каждый конкретный источник хозяйственно-питьевого водоснабжения должен иметь проекты зон санитарной охраны (ЗСО).</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Санитарная охрана водоводов обеспечивается санитарно-защитной полосой.</w:t>
      </w:r>
    </w:p>
    <w:p>
      <w:pPr>
        <w:keepLines/>
        <w:suppressAutoHyphens/>
        <w:spacing w:after="0" w:line="360" w:lineRule="auto"/>
        <w:ind w:firstLine="851"/>
        <w:jc w:val="both"/>
        <w:rPr>
          <w:rFonts w:eastAsia="Times New Roman"/>
          <w:bCs/>
          <w:kern w:val="0"/>
          <w:lang w:eastAsia="ru-RU"/>
        </w:rPr>
      </w:pPr>
      <w:r>
        <w:rPr>
          <w:rFonts w:eastAsia="Times New Roman"/>
          <w:b/>
          <w:bCs/>
          <w:kern w:val="0"/>
          <w:lang w:eastAsia="ru-RU"/>
        </w:rPr>
        <w:t>Проектом предлагается</w:t>
      </w:r>
      <w:r>
        <w:rPr>
          <w:rFonts w:eastAsia="Times New Roman"/>
          <w:bCs/>
          <w:kern w:val="0"/>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питьевого назначения» и </w:t>
      </w:r>
      <w:r>
        <w:rPr>
          <w:rFonts w:eastAsia="Times New Roman"/>
          <w:kern w:val="0"/>
          <w:lang w:eastAsia="ru-RU"/>
        </w:rPr>
        <w:t>СП 31.13330.2012 «Водоснабжение. Наружные сети и сооружения. Актуализированная редакция СНиП 2.04.02-84*»</w:t>
      </w:r>
      <w:r>
        <w:rPr>
          <w:rFonts w:eastAsia="Times New Roman"/>
          <w:bCs/>
          <w:kern w:val="0"/>
          <w:lang w:eastAsia="ru-RU"/>
        </w:rPr>
        <w:t>.</w:t>
      </w:r>
    </w:p>
    <w:p>
      <w:pPr>
        <w:keepLines/>
        <w:suppressAutoHyphens/>
        <w:spacing w:after="0" w:line="360" w:lineRule="auto"/>
        <w:ind w:firstLine="851"/>
        <w:jc w:val="both"/>
        <w:rPr>
          <w:rFonts w:eastAsia="Times New Roman"/>
          <w:bCs/>
          <w:kern w:val="0"/>
          <w:lang w:eastAsia="ru-RU"/>
        </w:rPr>
      </w:pPr>
    </w:p>
    <w:p>
      <w:pPr>
        <w:keepLines/>
        <w:suppressAutoHyphens/>
        <w:spacing w:after="0" w:line="360" w:lineRule="auto"/>
        <w:jc w:val="center"/>
        <w:rPr>
          <w:b/>
        </w:rPr>
      </w:pPr>
      <w:r>
        <w:rPr>
          <w:b/>
        </w:rPr>
        <w:t>Определение границ поясов ЗСО подземных источников водоснабжения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Граница первого пояса</w:t>
      </w:r>
      <w:r>
        <w:rPr>
          <w:rFonts w:eastAsia="Times New Roman"/>
          <w:kern w:val="0"/>
          <w:lang w:eastAsia="ru-RU"/>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Граница первого пояса ЗСО группы подземных водозаборов должна находиться на расстоянии не менее 30 и 50 м от крайних скважин.</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К недостаточно защищенным подземным водам относятся:</w:t>
      </w:r>
    </w:p>
    <w:p>
      <w:pPr>
        <w:pStyle w:val="282"/>
        <w:numPr>
          <w:ilvl w:val="0"/>
          <w:numId w:val="43"/>
        </w:numPr>
        <w:rPr>
          <w:sz w:val="24"/>
        </w:rPr>
      </w:pPr>
      <w:r>
        <w:rPr>
          <w:sz w:val="24"/>
        </w:rPr>
        <w:t>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pPr>
        <w:pStyle w:val="282"/>
        <w:numPr>
          <w:ilvl w:val="0"/>
          <w:numId w:val="43"/>
        </w:numPr>
        <w:rPr>
          <w:sz w:val="24"/>
        </w:rPr>
      </w:pPr>
      <w:r>
        <w:rPr>
          <w:sz w:val="24"/>
        </w:rPr>
        <w:t>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 xml:space="preserve">Границы второго и третьего поясов. </w:t>
      </w:r>
      <w:r>
        <w:rPr>
          <w:rFonts w:eastAsia="Times New Roman"/>
          <w:kern w:val="0"/>
          <w:lang w:eastAsia="ru-RU"/>
        </w:rPr>
        <w:t>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pPr>
        <w:pStyle w:val="282"/>
        <w:numPr>
          <w:ilvl w:val="0"/>
          <w:numId w:val="43"/>
        </w:numPr>
        <w:rPr>
          <w:sz w:val="24"/>
        </w:rPr>
      </w:pPr>
      <w:r>
        <w:rPr>
          <w:sz w:val="24"/>
        </w:rPr>
        <w:t>типа водозабора (отдельные скважины, группы скважин, линейный ряд скважин, горизонтальные дрены и др.);</w:t>
      </w:r>
    </w:p>
    <w:p>
      <w:pPr>
        <w:pStyle w:val="282"/>
        <w:numPr>
          <w:ilvl w:val="0"/>
          <w:numId w:val="43"/>
        </w:numPr>
        <w:rPr>
          <w:sz w:val="24"/>
        </w:rPr>
      </w:pPr>
      <w:r>
        <w:rPr>
          <w:sz w:val="24"/>
        </w:rPr>
        <w:t>величины водозабора (расхода воды) и понижения уровня подземных вод;</w:t>
      </w:r>
    </w:p>
    <w:p>
      <w:pPr>
        <w:pStyle w:val="282"/>
        <w:numPr>
          <w:ilvl w:val="0"/>
          <w:numId w:val="43"/>
        </w:numPr>
        <w:rPr>
          <w:sz w:val="24"/>
        </w:rPr>
      </w:pPr>
      <w:r>
        <w:rPr>
          <w:sz w:val="24"/>
        </w:rPr>
        <w:t>гидрологических особенностей водоносного пласта, условий его питания и дренирования.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pPr>
        <w:keepLines/>
        <w:suppressAutoHyphens/>
        <w:spacing w:after="0" w:line="360" w:lineRule="auto"/>
        <w:jc w:val="center"/>
        <w:rPr>
          <w:b/>
        </w:rPr>
      </w:pPr>
      <w:r>
        <w:rPr>
          <w:b/>
        </w:rPr>
        <w:t>Определение границ поясов ЗСО поверхностных источников водоснабжения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Граница первого пояса ЗСО</w:t>
      </w:r>
      <w:r>
        <w:rPr>
          <w:rFonts w:eastAsia="Times New Roman"/>
          <w:kern w:val="0"/>
          <w:lang w:eastAsia="ru-RU"/>
        </w:rPr>
        <w:t xml:space="preserve"> водопровода с поверхностным источником устанавливается с учетом конкретных условий в следующих пределах:</w:t>
      </w:r>
    </w:p>
    <w:p>
      <w:pPr>
        <w:pStyle w:val="282"/>
        <w:numPr>
          <w:ilvl w:val="0"/>
          <w:numId w:val="43"/>
        </w:numPr>
      </w:pPr>
      <w:r>
        <w:rPr>
          <w:sz w:val="24"/>
        </w:rPr>
        <w:t>для водотоков:</w:t>
      </w:r>
      <w:r>
        <w:tab/>
      </w:r>
    </w:p>
    <w:p>
      <w:pPr>
        <w:pStyle w:val="282"/>
        <w:numPr>
          <w:ilvl w:val="0"/>
          <w:numId w:val="48"/>
        </w:numPr>
        <w:rPr>
          <w:sz w:val="24"/>
        </w:rPr>
      </w:pPr>
      <w:r>
        <w:rPr>
          <w:sz w:val="24"/>
        </w:rPr>
        <w:t>вверх по течению - не менее 200 м от водозабора;</w:t>
      </w:r>
    </w:p>
    <w:p>
      <w:pPr>
        <w:pStyle w:val="282"/>
        <w:numPr>
          <w:ilvl w:val="0"/>
          <w:numId w:val="48"/>
        </w:numPr>
        <w:rPr>
          <w:sz w:val="24"/>
        </w:rPr>
      </w:pPr>
      <w:r>
        <w:rPr>
          <w:sz w:val="24"/>
        </w:rPr>
        <w:t>вниз по течению - не менее 100 м от водозабора;</w:t>
      </w:r>
    </w:p>
    <w:p>
      <w:pPr>
        <w:pStyle w:val="282"/>
        <w:numPr>
          <w:ilvl w:val="0"/>
          <w:numId w:val="48"/>
        </w:numPr>
        <w:rPr>
          <w:sz w:val="24"/>
        </w:rPr>
      </w:pPr>
      <w:r>
        <w:rPr>
          <w:sz w:val="24"/>
        </w:rPr>
        <w:t>по прилегающему к водозабору берегу - не менее 100 м от линии уреза воды летне-осенней межени;</w:t>
      </w:r>
    </w:p>
    <w:p>
      <w:pPr>
        <w:pStyle w:val="282"/>
        <w:numPr>
          <w:ilvl w:val="0"/>
          <w:numId w:val="48"/>
        </w:numPr>
        <w:rPr>
          <w:sz w:val="24"/>
        </w:rPr>
      </w:pPr>
      <w:r>
        <w:rPr>
          <w:sz w:val="24"/>
        </w:rPr>
        <w:t>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pPr>
        <w:pStyle w:val="282"/>
        <w:numPr>
          <w:ilvl w:val="0"/>
          <w:numId w:val="43"/>
        </w:numPr>
        <w:rPr>
          <w:sz w:val="24"/>
        </w:rPr>
      </w:pPr>
      <w:r>
        <w:rPr>
          <w:sz w:val="24"/>
        </w:rPr>
        <w:t>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 xml:space="preserve">Граница второго пояса ЗСО </w:t>
      </w:r>
      <w:r>
        <w:rPr>
          <w:rFonts w:eastAsia="Times New Roman"/>
          <w:kern w:val="0"/>
          <w:lang w:eastAsia="ru-RU"/>
        </w:rPr>
        <w:t>водотока ниже по течению должна быть определена с учетом исключения влияния ветровых обратных течений, но не менее 250 м от водозабора.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Боковые границы второго пояса ЗСО от уреза воды при летне-осенней межени должны быть расположены на расстоянии:</w:t>
      </w:r>
    </w:p>
    <w:p>
      <w:pPr>
        <w:pStyle w:val="282"/>
        <w:numPr>
          <w:ilvl w:val="0"/>
          <w:numId w:val="43"/>
        </w:numPr>
        <w:rPr>
          <w:sz w:val="24"/>
        </w:rPr>
      </w:pPr>
      <w:r>
        <w:rPr>
          <w:sz w:val="24"/>
        </w:rPr>
        <w:t>при равнинном рельефе местности - не менее 500 м;</w:t>
      </w:r>
    </w:p>
    <w:p>
      <w:pPr>
        <w:pStyle w:val="282"/>
        <w:numPr>
          <w:ilvl w:val="0"/>
          <w:numId w:val="43"/>
        </w:numPr>
        <w:rPr>
          <w:sz w:val="24"/>
        </w:rPr>
      </w:pPr>
      <w:r>
        <w:rPr>
          <w:sz w:val="24"/>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Границы третьего пояса ЗСО</w:t>
      </w:r>
      <w:r>
        <w:rPr>
          <w:rFonts w:eastAsia="Times New Roman"/>
          <w:kern w:val="0"/>
          <w:lang w:eastAsia="ru-RU"/>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pPr>
        <w:keepLines/>
        <w:suppressAutoHyphens/>
        <w:spacing w:after="0" w:line="360" w:lineRule="auto"/>
        <w:jc w:val="center"/>
        <w:rPr>
          <w:b/>
        </w:rPr>
      </w:pPr>
    </w:p>
    <w:p>
      <w:pPr>
        <w:keepLines/>
        <w:suppressAutoHyphens/>
        <w:spacing w:after="0" w:line="360" w:lineRule="auto"/>
        <w:jc w:val="center"/>
        <w:rPr>
          <w:b/>
        </w:rPr>
      </w:pPr>
    </w:p>
    <w:p>
      <w:pPr>
        <w:keepLines/>
        <w:suppressAutoHyphens/>
        <w:spacing w:after="0" w:line="360" w:lineRule="auto"/>
        <w:jc w:val="center"/>
        <w:rPr>
          <w:b/>
        </w:rPr>
      </w:pPr>
      <w:r>
        <w:rPr>
          <w:b/>
        </w:rPr>
        <w:t>Определение границ ЗСО водопроводных сооружений и водоводов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Граница первого пояса ЗСО</w:t>
      </w:r>
      <w:r>
        <w:rPr>
          <w:rFonts w:eastAsia="Times New Roman"/>
          <w:kern w:val="0"/>
          <w:lang w:eastAsia="ru-RU"/>
        </w:rPr>
        <w:t xml:space="preserve"> водопроводных сооружений принимается на расстоянии:</w:t>
      </w:r>
    </w:p>
    <w:p>
      <w:pPr>
        <w:pStyle w:val="282"/>
        <w:numPr>
          <w:ilvl w:val="0"/>
          <w:numId w:val="43"/>
        </w:numPr>
        <w:rPr>
          <w:sz w:val="24"/>
        </w:rPr>
      </w:pPr>
      <w:r>
        <w:rPr>
          <w:sz w:val="24"/>
        </w:rPr>
        <w:t>от стен запасных и регулирующих емкостей, фильтров и контактных осветлителей - не менее 30 м;</w:t>
      </w:r>
    </w:p>
    <w:p>
      <w:pPr>
        <w:pStyle w:val="282"/>
        <w:numPr>
          <w:ilvl w:val="0"/>
          <w:numId w:val="43"/>
        </w:numPr>
        <w:rPr>
          <w:sz w:val="24"/>
        </w:rPr>
      </w:pPr>
      <w:r>
        <w:rPr>
          <w:sz w:val="24"/>
        </w:rPr>
        <w:t>от водонапорных башен - не менее 10 м;</w:t>
      </w:r>
    </w:p>
    <w:p>
      <w:pPr>
        <w:pStyle w:val="282"/>
        <w:numPr>
          <w:ilvl w:val="0"/>
          <w:numId w:val="43"/>
        </w:numPr>
        <w:rPr>
          <w:sz w:val="24"/>
        </w:rPr>
      </w:pPr>
      <w:r>
        <w:rPr>
          <w:sz w:val="24"/>
        </w:rPr>
        <w:t>от остальных помещений (отстойники, реагентное хозяйство, склад хлора, насосные станции и др.) - не менее 15 м.</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Ширину санитарно-защитной полосы</w:t>
      </w:r>
      <w:r>
        <w:rPr>
          <w:rFonts w:eastAsia="Times New Roman"/>
          <w:kern w:val="0"/>
          <w:lang w:eastAsia="ru-RU"/>
        </w:rPr>
        <w:t xml:space="preserve"> следует принимать по обе стороны от крайних линий водопровода:</w:t>
      </w:r>
    </w:p>
    <w:p>
      <w:pPr>
        <w:pStyle w:val="282"/>
        <w:numPr>
          <w:ilvl w:val="0"/>
          <w:numId w:val="43"/>
        </w:numPr>
        <w:rPr>
          <w:sz w:val="24"/>
        </w:rPr>
      </w:pPr>
      <w:r>
        <w:rPr>
          <w:sz w:val="24"/>
        </w:rPr>
        <w:t>при отсутствии грунтовых вод – не менее 10 м при диаметре водоводов до 1000 мм и не менее 20 м при диаметре водоводов более 1000 мм;</w:t>
      </w:r>
    </w:p>
    <w:p>
      <w:pPr>
        <w:pStyle w:val="282"/>
        <w:numPr>
          <w:ilvl w:val="0"/>
          <w:numId w:val="43"/>
        </w:numPr>
        <w:rPr>
          <w:sz w:val="24"/>
        </w:rPr>
      </w:pPr>
      <w:r>
        <w:rPr>
          <w:sz w:val="24"/>
        </w:rPr>
        <w:t>при наличии грунтовых вод – не менее 50 м вне зависимости от диаметра водоводов.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w:t>
      </w:r>
      <w:r>
        <w:rPr>
          <w:rFonts w:eastAsia="Times New Roman"/>
          <w:bCs/>
          <w:kern w:val="0"/>
          <w:lang w:eastAsia="ru-RU"/>
        </w:rPr>
        <w:t xml:space="preserve"> СанПиН 2.1.4.1110-02 «Зоны санитарной охраны источников водоснабжения и водопроводов питьевого назначения» и </w:t>
      </w:r>
      <w:r>
        <w:rPr>
          <w:rFonts w:eastAsia="Times New Roman"/>
          <w:kern w:val="0"/>
          <w:lang w:eastAsia="ru-RU"/>
        </w:rPr>
        <w:t>СП 31.13330.2012 «Водоснабжение. Наружные сети и сооружения. Актуализированная редакция СНиП 2.04.02-84*»</w:t>
      </w:r>
      <w:r>
        <w:rPr>
          <w:rFonts w:eastAsia="Times New Roman"/>
          <w:bCs/>
          <w:kern w:val="0"/>
          <w:lang w:eastAsia="ru-RU"/>
        </w:rPr>
        <w:t>.</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spacing w:line="240" w:lineRule="auto"/>
        <w:jc w:val="center"/>
        <w:rPr>
          <w:b/>
          <w:bCs/>
        </w:rPr>
      </w:pPr>
      <w:r>
        <w:rPr>
          <w:b/>
          <w:bCs/>
        </w:rPr>
        <w:t>Регламенты использования территорий зон санитарной охраны источников водоснабжения</w:t>
      </w:r>
    </w:p>
    <w:p>
      <w:pPr>
        <w:pStyle w:val="147"/>
        <w:numPr>
          <w:ilvl w:val="0"/>
          <w:numId w:val="23"/>
        </w:numPr>
        <w:ind w:right="142"/>
        <w:jc w:val="right"/>
        <w:rPr>
          <w:b/>
          <w:bCs/>
        </w:rPr>
      </w:pPr>
      <w:r>
        <w:rPr>
          <w:b/>
          <w:bCs/>
        </w:rPr>
        <w:t>Таблица 2</w:t>
      </w:r>
      <w:r>
        <w:rPr>
          <w:rFonts w:hint="default"/>
          <w:b/>
          <w:bCs/>
          <w:lang w:val="ru-RU"/>
        </w:rPr>
        <w:t>6</w:t>
      </w:r>
    </w:p>
    <w:tbl>
      <w:tblPr>
        <w:tblStyle w:val="12"/>
        <w:tblW w:w="4886" w:type="pct"/>
        <w:tblInd w:w="108"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8"/>
        <w:gridCol w:w="21"/>
        <w:gridCol w:w="4439"/>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blHeader/>
        </w:trPr>
        <w:tc>
          <w:tcPr>
            <w:tcW w:w="2728" w:type="pct"/>
            <w:gridSpan w:val="2"/>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kern w:val="0"/>
                <w:lang w:eastAsia="ru-RU"/>
              </w:rPr>
            </w:pPr>
            <w:r>
              <w:rPr>
                <w:rFonts w:eastAsia="Times New Roman"/>
                <w:b/>
                <w:kern w:val="0"/>
                <w:lang w:eastAsia="ru-RU"/>
              </w:rPr>
              <w:t>Запрещается</w:t>
            </w:r>
          </w:p>
        </w:tc>
        <w:tc>
          <w:tcPr>
            <w:tcW w:w="2272" w:type="pct"/>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ind w:hanging="23"/>
              <w:jc w:val="center"/>
              <w:rPr>
                <w:rFonts w:eastAsia="Times New Roman"/>
                <w:b/>
                <w:kern w:val="0"/>
                <w:lang w:eastAsia="ru-RU"/>
              </w:rPr>
            </w:pPr>
            <w:r>
              <w:rPr>
                <w:rFonts w:eastAsia="Times New Roman"/>
                <w:b/>
                <w:kern w:val="0"/>
                <w:lang w:eastAsia="ru-RU"/>
              </w:rPr>
              <w:t>Допускается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kern w:val="0"/>
                <w:lang w:eastAsia="ru-RU"/>
              </w:rPr>
            </w:pPr>
            <w:r>
              <w:rPr>
                <w:rFonts w:eastAsia="Times New Roman"/>
                <w:b/>
                <w:kern w:val="0"/>
                <w:lang w:eastAsia="ru-RU"/>
              </w:rPr>
              <w:t>Подземные источники водоснабжения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i/>
                <w:kern w:val="0"/>
                <w:lang w:eastAsia="ru-RU"/>
              </w:rPr>
            </w:pPr>
            <w:r>
              <w:rPr>
                <w:rFonts w:eastAsia="Times New Roman"/>
                <w:b/>
                <w:i/>
                <w:kern w:val="0"/>
                <w:lang w:eastAsia="ru-RU"/>
              </w:rPr>
              <w:t>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размещение жилых и хозяйственно-бытовых зданий;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проживание людей;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посадка высокоствольных деревьев;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применение ядохимикатов и удобрений.</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ограждение и охрана;</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озеленение;</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отвод поверхностного стока за ее пределы;</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асфальтирование дорожек к сооружениям.</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i/>
                <w:kern w:val="0"/>
                <w:lang w:eastAsia="ru-RU"/>
              </w:rPr>
            </w:pPr>
            <w:r>
              <w:rPr>
                <w:rFonts w:eastAsia="Times New Roman"/>
                <w:b/>
                <w:i/>
                <w:kern w:val="0"/>
                <w:lang w:eastAsia="ru-RU"/>
              </w:rPr>
              <w:t>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2717"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закачка отработанных вод в подземные горизонты, подземное складирование твердых отходов и разработки недр земли;</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применение удобрений и ядохимикатов;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рубка леса главного пользования и реконструкции.</w:t>
            </w:r>
          </w:p>
        </w:tc>
        <w:tc>
          <w:tcPr>
            <w:tcW w:w="2283"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тампонирование или восстановление всех старых, бездействующих, дефектных или неправильно эксплуатируемых скважин;</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бурение новых скважин и новое строительство, имеющее непосредственное отношение к эксплуатации водопроводных сооружений;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i/>
                <w:kern w:val="0"/>
                <w:lang w:eastAsia="ru-RU"/>
              </w:rPr>
            </w:pPr>
            <w:r>
              <w:rPr>
                <w:rFonts w:eastAsia="Times New Roman"/>
                <w:b/>
                <w:i/>
                <w:kern w:val="0"/>
                <w:lang w:eastAsia="ru-RU"/>
              </w:rPr>
              <w:t>III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закачка отработанных вод в подземные горизонты, подземное складирования твердых отходов и разработки недр земли;</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тампонирование или восстановление всех старых, бездействующих, дефектных или неправильно эксплуатируемых скважин;</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бурение новых скважин и новое строительство, имеющее непосредственное отношение к эксплуатации водопроводных сооружений.</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kern w:val="0"/>
                <w:lang w:eastAsia="ru-RU"/>
              </w:rPr>
            </w:pPr>
            <w:r>
              <w:rPr>
                <w:rFonts w:eastAsia="Times New Roman"/>
                <w:b/>
                <w:kern w:val="0"/>
                <w:lang w:eastAsia="ru-RU"/>
              </w:rPr>
              <w:t>Поверхностные источники водоснабжения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ind w:firstLine="34"/>
              <w:jc w:val="center"/>
              <w:rPr>
                <w:rFonts w:eastAsia="Times New Roman"/>
                <w:b/>
                <w:i/>
                <w:kern w:val="0"/>
                <w:lang w:eastAsia="ru-RU"/>
              </w:rPr>
            </w:pPr>
            <w:r>
              <w:rPr>
                <w:rFonts w:eastAsia="Times New Roman"/>
                <w:b/>
                <w:i/>
                <w:kern w:val="0"/>
                <w:lang w:eastAsia="ru-RU"/>
              </w:rPr>
              <w:t>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размещение жилых и хозяйственно-бытовых зданий;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проживание людей;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посадка высокоствольных деревьев;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применение ядохимикатов и удобрений;</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ограждение и охрана;</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озеленение;</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отвод поверхностного стока за ее пределы;</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асфальтирование дорожек к сооружениям;</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ограждение акватория буями и другими предупредительными знаками;</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на судоходных водоемах над водоприемником устанавливаются бакены с освещением.</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i/>
                <w:kern w:val="0"/>
                <w:lang w:eastAsia="ru-RU"/>
              </w:rPr>
            </w:pPr>
            <w:r>
              <w:rPr>
                <w:rFonts w:eastAsia="Times New Roman"/>
                <w:b/>
                <w:i/>
                <w:kern w:val="0"/>
                <w:lang w:eastAsia="ru-RU"/>
              </w:rPr>
              <w:t>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сброс промышленных, муниципальнохозяйственных,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рубка леса главного пользования и реконструкции.</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 наличии судоходства - оборудование на пристанях сливных станций и приемников для сбора твердых отходов;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границы второго пояса ЗСО на пересечении дорог и пешеходных троп обозначаются столбами со специальными знаками.</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i/>
                <w:kern w:val="0"/>
                <w:lang w:eastAsia="ru-RU"/>
              </w:rPr>
            </w:pPr>
            <w:r>
              <w:rPr>
                <w:rFonts w:eastAsia="Times New Roman"/>
                <w:b/>
                <w:i/>
                <w:kern w:val="0"/>
                <w:lang w:eastAsia="ru-RU"/>
              </w:rPr>
              <w:t>III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при наличии судоходства - оборудование на пристанях сливных станций и приемников для сбора твердых отходов.</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jc w:val="center"/>
              <w:rPr>
                <w:rFonts w:eastAsia="Times New Roman"/>
                <w:b/>
                <w:kern w:val="0"/>
                <w:lang w:eastAsia="ru-RU"/>
              </w:rPr>
            </w:pPr>
            <w:r>
              <w:rPr>
                <w:rFonts w:eastAsia="Times New Roman"/>
                <w:b/>
                <w:kern w:val="0"/>
                <w:lang w:eastAsia="ru-RU"/>
              </w:rPr>
              <w:t>Санитарно-защитные полосы</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размещение источников загрязнения почвы и грунтовых вод;</w:t>
            </w:r>
          </w:p>
          <w:p>
            <w:pPr>
              <w:numPr>
                <w:ilvl w:val="0"/>
                <w:numId w:val="49"/>
              </w:numPr>
              <w:suppressAutoHyphens/>
              <w:spacing w:after="0" w:line="360" w:lineRule="auto"/>
              <w:ind w:left="318" w:hanging="284"/>
              <w:jc w:val="both"/>
              <w:rPr>
                <w:rFonts w:eastAsia="Times New Roman"/>
                <w:kern w:val="0"/>
                <w:lang w:eastAsia="ru-RU"/>
              </w:rPr>
            </w:pPr>
            <w:r>
              <w:rPr>
                <w:rFonts w:eastAsia="Times New Roman"/>
                <w:kern w:val="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муниципально-хозяйственных предприятий.</w:t>
            </w:r>
          </w:p>
        </w:tc>
        <w:tc>
          <w:tcPr>
            <w:tcW w:w="2272" w:type="pct"/>
            <w:tcBorders>
              <w:top w:val="single" w:color="auto" w:sz="4" w:space="0"/>
              <w:left w:val="single" w:color="auto" w:sz="4" w:space="0"/>
              <w:bottom w:val="single" w:color="auto" w:sz="4" w:space="0"/>
              <w:right w:val="single" w:color="auto" w:sz="4" w:space="0"/>
            </w:tcBorders>
            <w:vAlign w:val="center"/>
          </w:tcPr>
          <w:p>
            <w:pPr>
              <w:suppressAutoHyphens/>
              <w:spacing w:after="0" w:line="360" w:lineRule="auto"/>
              <w:ind w:left="318" w:firstLine="851"/>
              <w:jc w:val="both"/>
              <w:rPr>
                <w:rFonts w:eastAsia="Times New Roman"/>
                <w:kern w:val="0"/>
                <w:lang w:eastAsia="ru-RU"/>
              </w:rPr>
            </w:pPr>
          </w:p>
        </w:tc>
      </w:tr>
    </w:tbl>
    <w:p>
      <w:pPr>
        <w:pStyle w:val="4"/>
        <w:suppressAutoHyphens/>
        <w:spacing w:before="720" w:after="120" w:line="360" w:lineRule="auto"/>
        <w:jc w:val="center"/>
        <w:rPr>
          <w:rFonts w:ascii="Times New Roman" w:hAnsi="Times New Roman"/>
          <w:color w:val="auto"/>
          <w:kern w:val="32"/>
          <w:sz w:val="28"/>
          <w:szCs w:val="28"/>
          <w:lang w:eastAsia="ru-RU"/>
        </w:rPr>
      </w:pPr>
      <w:bookmarkStart w:id="218" w:name="_Toc315701273"/>
      <w:bookmarkEnd w:id="218"/>
      <w:bookmarkStart w:id="219" w:name="_Toc315701272"/>
      <w:bookmarkEnd w:id="219"/>
      <w:bookmarkStart w:id="220" w:name="_Toc315701274"/>
      <w:bookmarkEnd w:id="220"/>
      <w:bookmarkStart w:id="221" w:name="_Toc315701282"/>
      <w:bookmarkEnd w:id="221"/>
      <w:bookmarkStart w:id="222" w:name="_Toc315701275"/>
      <w:bookmarkEnd w:id="222"/>
      <w:bookmarkStart w:id="223" w:name="_Toc315701276"/>
      <w:bookmarkEnd w:id="223"/>
      <w:bookmarkStart w:id="224" w:name="_Toc315701284"/>
      <w:bookmarkEnd w:id="224"/>
      <w:bookmarkStart w:id="225" w:name="_Toc315701278"/>
      <w:bookmarkEnd w:id="225"/>
      <w:bookmarkStart w:id="226" w:name="_Toc315701279"/>
      <w:bookmarkEnd w:id="226"/>
      <w:bookmarkStart w:id="227" w:name="_Toc315701277"/>
      <w:bookmarkEnd w:id="227"/>
      <w:bookmarkStart w:id="228" w:name="_Toc315701281"/>
      <w:bookmarkEnd w:id="228"/>
      <w:bookmarkStart w:id="229" w:name="_Toc315701283"/>
      <w:bookmarkEnd w:id="229"/>
      <w:bookmarkStart w:id="230" w:name="_Toc315701280"/>
      <w:bookmarkEnd w:id="230"/>
      <w:bookmarkStart w:id="231" w:name="_Toc342378330"/>
      <w:bookmarkStart w:id="232" w:name="_Toc268263665"/>
      <w:bookmarkStart w:id="233" w:name="_Toc247965297"/>
      <w:bookmarkStart w:id="234" w:name="_Toc57203231"/>
      <w:r>
        <w:rPr>
          <w:rFonts w:ascii="Times New Roman" w:hAnsi="Times New Roman"/>
          <w:color w:val="auto"/>
          <w:kern w:val="32"/>
          <w:sz w:val="28"/>
          <w:szCs w:val="28"/>
          <w:lang w:eastAsia="ru-RU"/>
        </w:rPr>
        <w:t>2.13.5 Санитарно-защитные зоны</w:t>
      </w:r>
      <w:bookmarkEnd w:id="231"/>
      <w:bookmarkEnd w:id="232"/>
      <w:bookmarkEnd w:id="233"/>
      <w:bookmarkEnd w:id="234"/>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муниципального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Территория СЗЗ предназначена для: </w:t>
      </w:r>
    </w:p>
    <w:p>
      <w:pPr>
        <w:pStyle w:val="282"/>
        <w:numPr>
          <w:ilvl w:val="0"/>
          <w:numId w:val="43"/>
        </w:numPr>
        <w:rPr>
          <w:sz w:val="24"/>
        </w:rPr>
      </w:pPr>
      <w:r>
        <w:rPr>
          <w:sz w:val="24"/>
        </w:rPr>
        <w:t>обеспечения снижения уровня воздействия до требуемых гигиенических нормативов по всем факторам воздействия за ее пределами (ПДК, ПДУ);</w:t>
      </w:r>
    </w:p>
    <w:p>
      <w:pPr>
        <w:pStyle w:val="282"/>
        <w:numPr>
          <w:ilvl w:val="0"/>
          <w:numId w:val="43"/>
        </w:numPr>
        <w:rPr>
          <w:sz w:val="24"/>
        </w:rPr>
      </w:pPr>
      <w:r>
        <w:rPr>
          <w:sz w:val="24"/>
        </w:rPr>
        <w:t>создания санитарно-защитного барьера между территорией предприятия (группы предприятий) и территорией жилой застройки;</w:t>
      </w:r>
    </w:p>
    <w:p>
      <w:pPr>
        <w:pStyle w:val="282"/>
        <w:numPr>
          <w:ilvl w:val="0"/>
          <w:numId w:val="43"/>
        </w:numPr>
        <w:rPr>
          <w:sz w:val="24"/>
        </w:rPr>
      </w:pPr>
      <w:r>
        <w:rPr>
          <w:sz w:val="24"/>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Pr>
          <w:sz w:val="24"/>
        </w:rPr>
        <w:tab/>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keepNext/>
        <w:keepLines/>
        <w:suppressAutoHyphens/>
        <w:spacing w:after="0" w:line="360" w:lineRule="auto"/>
        <w:jc w:val="center"/>
        <w:rPr>
          <w:rFonts w:eastAsia="Times New Roman"/>
          <w:b/>
          <w:bCs/>
          <w:kern w:val="0"/>
          <w:lang w:eastAsia="ru-RU"/>
        </w:rPr>
      </w:pPr>
      <w:r>
        <w:rPr>
          <w:rFonts w:eastAsia="Times New Roman"/>
          <w:b/>
          <w:bCs/>
          <w:kern w:val="0"/>
          <w:lang w:eastAsia="ru-RU"/>
        </w:rPr>
        <w:t>СЗЗ промышленных объектов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зависимости от характеристики выбросов для промышленного объекта и производства размер санитарно-защитной зоны устанавливается от границы промплощадки и/или от конкретного источника выбросов загрязняющих веществ.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Генеральным планом предлагается</w:t>
      </w:r>
      <w:r>
        <w:rPr>
          <w:rFonts w:eastAsia="Times New Roman"/>
          <w:kern w:val="0"/>
          <w:lang w:eastAsia="ru-RU"/>
        </w:rPr>
        <w:t xml:space="preserve"> на основании СанПиН 2.2.1/2.1.1.2555-09 разработать и установить: </w:t>
      </w:r>
    </w:p>
    <w:p>
      <w:pPr>
        <w:pStyle w:val="282"/>
        <w:numPr>
          <w:ilvl w:val="0"/>
          <w:numId w:val="43"/>
        </w:numPr>
        <w:rPr>
          <w:sz w:val="24"/>
        </w:rPr>
      </w:pPr>
      <w:r>
        <w:rPr>
          <w:sz w:val="24"/>
        </w:rPr>
        <w:t>в обязательном порядке проекты санитарно-защитных зон для всех существующих и планируемых объектов I - III классов опасности;</w:t>
      </w:r>
    </w:p>
    <w:p>
      <w:pPr>
        <w:pStyle w:val="282"/>
        <w:numPr>
          <w:ilvl w:val="0"/>
          <w:numId w:val="43"/>
        </w:numPr>
        <w:rPr>
          <w:sz w:val="24"/>
        </w:rPr>
      </w:pPr>
      <w:r>
        <w:rPr>
          <w:sz w:val="24"/>
        </w:rPr>
        <w:t>в рекомендательном порядке проекты санитарно-защитных зон для всех существующих и планируемых объектов IV - V классов опасности.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Точные значения СЗЗ необходимо определять посредством создания проектов санитарно-защитных зон для каждого конкретного объекта.</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keepNext/>
        <w:keepLines/>
        <w:suppressAutoHyphens/>
        <w:spacing w:after="0" w:line="360" w:lineRule="auto"/>
        <w:jc w:val="center"/>
        <w:rPr>
          <w:rFonts w:eastAsia="Times New Roman"/>
          <w:b/>
          <w:bCs/>
          <w:kern w:val="0"/>
          <w:lang w:eastAsia="ru-RU"/>
        </w:rPr>
      </w:pPr>
      <w:r>
        <w:rPr>
          <w:rFonts w:eastAsia="Times New Roman"/>
          <w:b/>
          <w:bCs/>
          <w:kern w:val="0"/>
          <w:lang w:eastAsia="ru-RU"/>
        </w:rPr>
        <w:t>СЗЗ объектов транспортной инфраструктуры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автомобильных дорог в соответствии со ст.26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08.11.07 устанавливаются придорожные полосы автомобильных дорог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Зоны санитарного разрыва высоковольтных линий устанавливаются на основании РД 153-34.0-03.150-00. Зоны санитарного разрыва вдоль ВЛ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неотклоненном их положении. Размеры зоны санитарного разрыва представлены в таблице 29.</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spacing w:line="240" w:lineRule="auto"/>
        <w:jc w:val="center"/>
        <w:rPr>
          <w:b/>
          <w:bCs/>
        </w:rPr>
      </w:pPr>
      <w:r>
        <w:rPr>
          <w:b/>
          <w:bCs/>
        </w:rPr>
        <w:t>Зоны санитарного разрыва для линий электропередач</w:t>
      </w:r>
    </w:p>
    <w:p>
      <w:pPr>
        <w:pStyle w:val="147"/>
        <w:numPr>
          <w:ilvl w:val="0"/>
          <w:numId w:val="23"/>
        </w:numPr>
        <w:ind w:right="142"/>
        <w:jc w:val="right"/>
        <w:rPr>
          <w:b/>
          <w:bCs/>
        </w:rPr>
      </w:pPr>
      <w:r>
        <w:rPr>
          <w:b/>
          <w:bCs/>
        </w:rPr>
        <w:t>Таблица 2</w:t>
      </w:r>
      <w:r>
        <w:rPr>
          <w:rFonts w:hint="default"/>
          <w:b/>
          <w:bCs/>
          <w:lang w:val="ru-RU"/>
        </w:rPr>
        <w:t>7</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4"/>
        <w:gridCol w:w="4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2598" w:type="pct"/>
            <w:vAlign w:val="center"/>
          </w:tcPr>
          <w:p>
            <w:pPr>
              <w:keepNext/>
              <w:keepLines/>
              <w:suppressAutoHyphens/>
              <w:spacing w:after="0" w:line="360" w:lineRule="auto"/>
              <w:jc w:val="center"/>
              <w:rPr>
                <w:b/>
              </w:rPr>
            </w:pPr>
            <w:r>
              <w:rPr>
                <w:b/>
              </w:rPr>
              <w:t>Напряжение линий электропередач, кВ</w:t>
            </w:r>
          </w:p>
        </w:tc>
        <w:tc>
          <w:tcPr>
            <w:tcW w:w="2402" w:type="pct"/>
            <w:vAlign w:val="center"/>
          </w:tcPr>
          <w:p>
            <w:pPr>
              <w:keepNext/>
              <w:keepLines/>
              <w:suppressAutoHyphens/>
              <w:spacing w:after="0" w:line="360" w:lineRule="auto"/>
              <w:jc w:val="center"/>
              <w:rPr>
                <w:b/>
              </w:rPr>
            </w:pPr>
            <w:r>
              <w:rPr>
                <w:b/>
              </w:rPr>
              <w:t>ЗСР,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598" w:type="pct"/>
            <w:vAlign w:val="center"/>
          </w:tcPr>
          <w:p>
            <w:pPr>
              <w:keepNext/>
              <w:keepLines/>
              <w:suppressAutoHyphens/>
              <w:spacing w:after="0" w:line="360" w:lineRule="auto"/>
              <w:jc w:val="center"/>
            </w:pPr>
            <w:r>
              <w:t>до 1</w:t>
            </w:r>
          </w:p>
        </w:tc>
        <w:tc>
          <w:tcPr>
            <w:tcW w:w="2402" w:type="pct"/>
            <w:vAlign w:val="center"/>
          </w:tcPr>
          <w:p>
            <w:pPr>
              <w:keepNext/>
              <w:keepLines/>
              <w:suppressAutoHyphens/>
              <w:spacing w:after="0" w:line="360" w:lineRule="auto"/>
              <w:jc w:val="center"/>
            </w:pPr>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598" w:type="pct"/>
            <w:vAlign w:val="center"/>
          </w:tcPr>
          <w:p>
            <w:pPr>
              <w:keepNext/>
              <w:keepLines/>
              <w:suppressAutoHyphens/>
              <w:spacing w:after="0" w:line="360" w:lineRule="auto"/>
              <w:jc w:val="center"/>
            </w:pPr>
            <w:r>
              <w:t>1 - 20</w:t>
            </w:r>
          </w:p>
        </w:tc>
        <w:tc>
          <w:tcPr>
            <w:tcW w:w="2402" w:type="pct"/>
            <w:vAlign w:val="center"/>
          </w:tcPr>
          <w:p>
            <w:pPr>
              <w:keepNext/>
              <w:keepLines/>
              <w:suppressAutoHyphens/>
              <w:spacing w:after="0" w:line="360" w:lineRule="auto"/>
              <w:jc w:val="center"/>
            </w:pP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598" w:type="pct"/>
            <w:vAlign w:val="center"/>
          </w:tcPr>
          <w:p>
            <w:pPr>
              <w:keepNext/>
              <w:keepLines/>
              <w:suppressAutoHyphens/>
              <w:spacing w:after="0" w:line="360" w:lineRule="auto"/>
              <w:jc w:val="center"/>
            </w:pPr>
            <w:r>
              <w:t>35</w:t>
            </w:r>
          </w:p>
        </w:tc>
        <w:tc>
          <w:tcPr>
            <w:tcW w:w="2402" w:type="pct"/>
            <w:vAlign w:val="center"/>
          </w:tcPr>
          <w:p>
            <w:pPr>
              <w:keepNext/>
              <w:keepLines/>
              <w:suppressAutoHyphens/>
              <w:spacing w:after="0" w:line="360" w:lineRule="auto"/>
              <w:jc w:val="center"/>
            </w:pPr>
            <w: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598" w:type="pct"/>
            <w:vAlign w:val="center"/>
          </w:tcPr>
          <w:p>
            <w:pPr>
              <w:keepLines/>
              <w:suppressAutoHyphens/>
              <w:spacing w:after="0" w:line="360" w:lineRule="auto"/>
              <w:jc w:val="center"/>
            </w:pPr>
            <w:r>
              <w:t>110</w:t>
            </w:r>
          </w:p>
        </w:tc>
        <w:tc>
          <w:tcPr>
            <w:tcW w:w="2402" w:type="pct"/>
            <w:vAlign w:val="center"/>
          </w:tcPr>
          <w:p>
            <w:pPr>
              <w:keepLines/>
              <w:suppressAutoHyphens/>
              <w:spacing w:after="0" w:line="360" w:lineRule="auto"/>
              <w:jc w:val="center"/>
            </w:pP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598" w:type="pct"/>
            <w:vAlign w:val="center"/>
          </w:tcPr>
          <w:p>
            <w:pPr>
              <w:keepLines/>
              <w:suppressAutoHyphens/>
              <w:spacing w:after="0" w:line="360" w:lineRule="auto"/>
              <w:jc w:val="center"/>
            </w:pPr>
            <w:r>
              <w:t>330</w:t>
            </w:r>
          </w:p>
        </w:tc>
        <w:tc>
          <w:tcPr>
            <w:tcW w:w="2402" w:type="pct"/>
            <w:vAlign w:val="center"/>
          </w:tcPr>
          <w:p>
            <w:pPr>
              <w:keepLines/>
              <w:suppressAutoHyphens/>
              <w:spacing w:after="0" w:line="360" w:lineRule="auto"/>
              <w:jc w:val="center"/>
            </w:pPr>
            <w:r>
              <w:t>30</w:t>
            </w:r>
          </w:p>
        </w:tc>
      </w:tr>
    </w:tbl>
    <w:p>
      <w:pPr>
        <w:suppressAutoHyphens/>
        <w:spacing w:after="0" w:line="360" w:lineRule="auto"/>
        <w:ind w:firstLine="851"/>
        <w:jc w:val="both"/>
      </w:pP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На основании приложений 1-6 СанПиН 2.2.1/2.1.1.2555-09, для трубопроводов для сжиженных углеводородных газов создаются зоны санитарных разрывов.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Рекомендуемые минимальные размеры зон санитарных разрывов для сети межпоселковых газопроводов с диаметром труб 325 мм составляют 350 м.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pPr>
        <w:pStyle w:val="282"/>
        <w:numPr>
          <w:ilvl w:val="0"/>
          <w:numId w:val="43"/>
        </w:numPr>
        <w:rPr>
          <w:sz w:val="24"/>
        </w:rPr>
      </w:pPr>
      <w:r>
        <w:rPr>
          <w:sz w:val="24"/>
        </w:rPr>
        <w:t>инвентаризации жилой застройки, расположенной в СЗЗ, с целью определения точного количества жителей, требующих переселения;</w:t>
      </w:r>
    </w:p>
    <w:p>
      <w:pPr>
        <w:pStyle w:val="282"/>
        <w:numPr>
          <w:ilvl w:val="0"/>
          <w:numId w:val="43"/>
        </w:numPr>
        <w:rPr>
          <w:sz w:val="24"/>
        </w:rPr>
      </w:pPr>
      <w:r>
        <w:rPr>
          <w:sz w:val="24"/>
        </w:rPr>
        <w:t>переселения людей, живущих в и запрещения дальнейшего развития жилой застройки на данной территории;</w:t>
      </w:r>
    </w:p>
    <w:p>
      <w:pPr>
        <w:pStyle w:val="282"/>
        <w:numPr>
          <w:ilvl w:val="0"/>
          <w:numId w:val="43"/>
        </w:numPr>
        <w:rPr>
          <w:sz w:val="24"/>
        </w:rPr>
      </w:pPr>
      <w:r>
        <w:rPr>
          <w:sz w:val="24"/>
        </w:rPr>
        <w:t>создание инвестиционных промышленных площадок на территории «переносимого» жилищного фонда;</w:t>
      </w:r>
    </w:p>
    <w:p>
      <w:pPr>
        <w:pStyle w:val="282"/>
        <w:numPr>
          <w:ilvl w:val="0"/>
          <w:numId w:val="43"/>
        </w:numPr>
        <w:rPr>
          <w:sz w:val="24"/>
        </w:rPr>
      </w:pPr>
      <w:r>
        <w:rPr>
          <w:sz w:val="24"/>
        </w:rPr>
        <w:t>снижение выбросов вредных веществ в атмосферу посредством установки пыле- и газоулавливающего оборудования на предприятиях, а также реконструкции и усовершенствования имеющегося оборудования.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Регламенты использования территорий санитарно-защитных зон, определенные СанПиН 2.2.1/2.1.1.2555-09, представлены в таблице 30.</w:t>
      </w:r>
    </w:p>
    <w:p>
      <w:pPr>
        <w:spacing w:line="240" w:lineRule="auto"/>
        <w:jc w:val="center"/>
        <w:rPr>
          <w:b/>
          <w:bCs/>
        </w:rPr>
      </w:pPr>
    </w:p>
    <w:p>
      <w:pPr>
        <w:spacing w:line="240" w:lineRule="auto"/>
        <w:jc w:val="center"/>
        <w:rPr>
          <w:b/>
          <w:bCs/>
        </w:rPr>
      </w:pPr>
      <w:r>
        <w:rPr>
          <w:b/>
          <w:bCs/>
        </w:rPr>
        <w:t>Регламенты использования территории санитарно-защитных зон</w:t>
      </w:r>
    </w:p>
    <w:p>
      <w:pPr>
        <w:pStyle w:val="147"/>
        <w:numPr>
          <w:ilvl w:val="0"/>
          <w:numId w:val="23"/>
        </w:numPr>
        <w:ind w:right="142"/>
        <w:jc w:val="right"/>
        <w:rPr>
          <w:b/>
          <w:bCs/>
        </w:rPr>
      </w:pPr>
      <w:r>
        <w:rPr>
          <w:b/>
          <w:bCs/>
        </w:rPr>
        <w:t>Таблица 2</w:t>
      </w:r>
      <w:r>
        <w:rPr>
          <w:rFonts w:hint="default"/>
          <w:b/>
          <w:bCs/>
          <w:lang w:val="ru-RU"/>
        </w:rPr>
        <w:t>8</w:t>
      </w:r>
    </w:p>
    <w:tbl>
      <w:tblPr>
        <w:tblStyle w:val="12"/>
        <w:tblW w:w="5000" w:type="pct"/>
        <w:tblInd w:w="108" w:type="dxa"/>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Layout w:type="autofit"/>
        <w:tblCellMar>
          <w:top w:w="0" w:type="dxa"/>
          <w:left w:w="57" w:type="dxa"/>
          <w:bottom w:w="0" w:type="dxa"/>
          <w:right w:w="57" w:type="dxa"/>
        </w:tblCellMar>
      </w:tblPr>
      <w:tblGrid>
        <w:gridCol w:w="4646"/>
        <w:gridCol w:w="5248"/>
      </w:tblGrid>
      <w:tr>
        <w:tblPrEx>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CellMar>
            <w:top w:w="0" w:type="dxa"/>
            <w:left w:w="57" w:type="dxa"/>
            <w:bottom w:w="0" w:type="dxa"/>
            <w:right w:w="57" w:type="dxa"/>
          </w:tblCellMar>
        </w:tblPrEx>
        <w:trPr>
          <w:tblHeader/>
        </w:trPr>
        <w:tc>
          <w:tcPr>
            <w:tcW w:w="2348" w:type="pct"/>
            <w:tcBorders>
              <w:top w:val="single" w:color="auto" w:sz="4" w:space="0"/>
              <w:bottom w:val="single" w:color="auto" w:sz="4" w:space="0"/>
            </w:tcBorders>
            <w:shd w:val="clear" w:color="auto" w:fill="auto"/>
            <w:vAlign w:val="center"/>
          </w:tcPr>
          <w:p>
            <w:pPr>
              <w:keepLines/>
              <w:suppressAutoHyphens/>
              <w:spacing w:after="0" w:line="360" w:lineRule="auto"/>
              <w:ind w:left="-240"/>
              <w:jc w:val="center"/>
              <w:rPr>
                <w:rFonts w:eastAsia="Times New Roman"/>
                <w:b/>
                <w:lang w:eastAsia="ru-RU"/>
              </w:rPr>
            </w:pPr>
            <w:r>
              <w:rPr>
                <w:rFonts w:eastAsia="Times New Roman"/>
                <w:b/>
                <w:lang w:eastAsia="ru-RU"/>
              </w:rPr>
              <w:t>Запрещается</w:t>
            </w:r>
          </w:p>
        </w:tc>
        <w:tc>
          <w:tcPr>
            <w:tcW w:w="2652" w:type="pct"/>
            <w:tcBorders>
              <w:top w:val="single" w:color="auto" w:sz="4" w:space="0"/>
              <w:bottom w:val="single" w:color="auto" w:sz="4" w:space="0"/>
            </w:tcBorders>
            <w:shd w:val="clear" w:color="auto" w:fill="auto"/>
            <w:vAlign w:val="center"/>
          </w:tcPr>
          <w:p>
            <w:pPr>
              <w:keepLines/>
              <w:suppressAutoHyphens/>
              <w:spacing w:after="0" w:line="360" w:lineRule="auto"/>
              <w:ind w:left="-240"/>
              <w:jc w:val="center"/>
              <w:rPr>
                <w:rFonts w:eastAsia="Times New Roman"/>
                <w:b/>
                <w:lang w:eastAsia="ru-RU"/>
              </w:rPr>
            </w:pPr>
            <w:r>
              <w:rPr>
                <w:rFonts w:eastAsia="Times New Roman"/>
                <w:b/>
                <w:lang w:eastAsia="ru-RU"/>
              </w:rPr>
              <w:t>Допускается</w:t>
            </w:r>
          </w:p>
        </w:tc>
      </w:tr>
      <w:tr>
        <w:tblPrEx>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CellMar>
            <w:top w:w="0" w:type="dxa"/>
            <w:left w:w="57" w:type="dxa"/>
            <w:bottom w:w="0" w:type="dxa"/>
            <w:right w:w="57" w:type="dxa"/>
          </w:tblCellMar>
        </w:tblPrEx>
        <w:tc>
          <w:tcPr>
            <w:tcW w:w="2348" w:type="pct"/>
            <w:tcBorders>
              <w:top w:val="single" w:color="auto" w:sz="4" w:space="0"/>
            </w:tcBorders>
            <w:shd w:val="clear" w:color="auto" w:fill="auto"/>
            <w:vAlign w:val="center"/>
          </w:tcPr>
          <w:p>
            <w:pPr>
              <w:keepLines/>
              <w:numPr>
                <w:ilvl w:val="0"/>
                <w:numId w:val="50"/>
              </w:numPr>
              <w:tabs>
                <w:tab w:val="left" w:pos="318"/>
              </w:tabs>
              <w:suppressAutoHyphens/>
              <w:autoSpaceDE w:val="0"/>
              <w:autoSpaceDN w:val="0"/>
              <w:adjustRightInd w:val="0"/>
              <w:spacing w:after="0" w:line="360" w:lineRule="auto"/>
              <w:ind w:left="0" w:firstLine="0"/>
            </w:pPr>
            <w:r>
              <w:t>размещение жилой застройки, включая отдельные жилые дома;</w:t>
            </w:r>
          </w:p>
          <w:p>
            <w:pPr>
              <w:keepLines/>
              <w:numPr>
                <w:ilvl w:val="0"/>
                <w:numId w:val="50"/>
              </w:numPr>
              <w:tabs>
                <w:tab w:val="left" w:pos="318"/>
              </w:tabs>
              <w:suppressAutoHyphens/>
              <w:autoSpaceDE w:val="0"/>
              <w:autoSpaceDN w:val="0"/>
              <w:adjustRightInd w:val="0"/>
              <w:spacing w:after="0" w:line="360" w:lineRule="auto"/>
              <w:ind w:left="0" w:firstLine="0"/>
            </w:pPr>
            <w:r>
              <w:t>размещение ландшафтно-рекреационных зон, зон отдыха, территорий курортов, санаториев и домов отдыха;</w:t>
            </w:r>
          </w:p>
          <w:p>
            <w:pPr>
              <w:keepLines/>
              <w:numPr>
                <w:ilvl w:val="0"/>
                <w:numId w:val="50"/>
              </w:numPr>
              <w:tabs>
                <w:tab w:val="left" w:pos="318"/>
              </w:tabs>
              <w:suppressAutoHyphens/>
              <w:autoSpaceDE w:val="0"/>
              <w:autoSpaceDN w:val="0"/>
              <w:adjustRightInd w:val="0"/>
              <w:spacing w:after="0" w:line="360" w:lineRule="auto"/>
              <w:ind w:left="0" w:firstLine="0"/>
            </w:pPr>
            <w: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pPr>
              <w:keepLines/>
              <w:numPr>
                <w:ilvl w:val="0"/>
                <w:numId w:val="50"/>
              </w:numPr>
              <w:tabs>
                <w:tab w:val="left" w:pos="318"/>
              </w:tabs>
              <w:suppressAutoHyphens/>
              <w:autoSpaceDE w:val="0"/>
              <w:autoSpaceDN w:val="0"/>
              <w:adjustRightInd w:val="0"/>
              <w:spacing w:after="0" w:line="360" w:lineRule="auto"/>
              <w:ind w:left="0" w:firstLine="0"/>
            </w:pPr>
            <w: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pPr>
              <w:keepLines/>
              <w:numPr>
                <w:ilvl w:val="0"/>
                <w:numId w:val="50"/>
              </w:numPr>
              <w:tabs>
                <w:tab w:val="left" w:pos="318"/>
              </w:tabs>
              <w:suppressAutoHyphens/>
              <w:autoSpaceDE w:val="0"/>
              <w:autoSpaceDN w:val="0"/>
              <w:adjustRightInd w:val="0"/>
              <w:spacing w:after="0" w:line="360" w:lineRule="auto"/>
              <w:ind w:left="0" w:firstLine="0"/>
            </w:pPr>
            <w: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pPr>
              <w:keepLines/>
              <w:numPr>
                <w:ilvl w:val="0"/>
                <w:numId w:val="50"/>
              </w:numPr>
              <w:tabs>
                <w:tab w:val="left" w:pos="318"/>
              </w:tabs>
              <w:suppressAutoHyphens/>
              <w:autoSpaceDE w:val="0"/>
              <w:autoSpaceDN w:val="0"/>
              <w:adjustRightInd w:val="0"/>
              <w:spacing w:after="0" w:line="360" w:lineRule="auto"/>
              <w:ind w:left="0" w:firstLine="0"/>
            </w:pPr>
            <w: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color="auto" w:sz="4" w:space="0"/>
            </w:tcBorders>
            <w:shd w:val="clear" w:color="auto" w:fill="auto"/>
            <w:vAlign w:val="center"/>
          </w:tcPr>
          <w:p>
            <w:pPr>
              <w:keepLines/>
              <w:numPr>
                <w:ilvl w:val="0"/>
                <w:numId w:val="50"/>
              </w:numPr>
              <w:tabs>
                <w:tab w:val="left" w:pos="408"/>
              </w:tabs>
              <w:suppressAutoHyphens/>
              <w:autoSpaceDE w:val="0"/>
              <w:autoSpaceDN w:val="0"/>
              <w:adjustRightInd w:val="0"/>
              <w:spacing w:after="0" w:line="360" w:lineRule="auto"/>
              <w:ind w:left="0" w:firstLine="0"/>
            </w:pPr>
            <w:r>
              <w:t>размещение промышленных объектов или производств в границах СЗЗ существующих объектов пищевой и фармацевтической промышленности (профильных, однотипных);</w:t>
            </w:r>
          </w:p>
          <w:p>
            <w:pPr>
              <w:keepLines/>
              <w:numPr>
                <w:ilvl w:val="0"/>
                <w:numId w:val="50"/>
              </w:numPr>
              <w:tabs>
                <w:tab w:val="left" w:pos="408"/>
              </w:tabs>
              <w:suppressAutoHyphens/>
              <w:autoSpaceDE w:val="0"/>
              <w:autoSpaceDN w:val="0"/>
              <w:adjustRightInd w:val="0"/>
              <w:spacing w:after="0" w:line="360" w:lineRule="auto"/>
              <w:ind w:left="0" w:firstLine="0"/>
            </w:pPr>
            <w: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pPr>
              <w:keepLines/>
              <w:numPr>
                <w:ilvl w:val="0"/>
                <w:numId w:val="50"/>
              </w:numPr>
              <w:tabs>
                <w:tab w:val="left" w:pos="408"/>
              </w:tabs>
              <w:suppressAutoHyphens/>
              <w:autoSpaceDE w:val="0"/>
              <w:autoSpaceDN w:val="0"/>
              <w:adjustRightInd w:val="0"/>
              <w:spacing w:after="0" w:line="360" w:lineRule="auto"/>
              <w:ind w:left="0" w:firstLine="0"/>
            </w:pPr>
            <w:r>
              <w:t>размещение зданий управлений, конструкторских бюро, зданий административного назначения, научно-исследовательских лабораторий;</w:t>
            </w:r>
          </w:p>
          <w:p>
            <w:pPr>
              <w:keepLines/>
              <w:numPr>
                <w:ilvl w:val="0"/>
                <w:numId w:val="50"/>
              </w:numPr>
              <w:tabs>
                <w:tab w:val="left" w:pos="408"/>
              </w:tabs>
              <w:suppressAutoHyphens/>
              <w:autoSpaceDE w:val="0"/>
              <w:autoSpaceDN w:val="0"/>
              <w:adjustRightInd w:val="0"/>
              <w:spacing w:after="0" w:line="360" w:lineRule="auto"/>
              <w:ind w:left="0" w:firstLine="0"/>
            </w:pPr>
            <w:r>
              <w:t>размещение поликлиник, спортивно-оздоровительных сооружений закрытого типа;</w:t>
            </w:r>
          </w:p>
          <w:p>
            <w:pPr>
              <w:keepLines/>
              <w:numPr>
                <w:ilvl w:val="0"/>
                <w:numId w:val="50"/>
              </w:numPr>
              <w:tabs>
                <w:tab w:val="left" w:pos="408"/>
              </w:tabs>
              <w:suppressAutoHyphens/>
              <w:autoSpaceDE w:val="0"/>
              <w:autoSpaceDN w:val="0"/>
              <w:adjustRightInd w:val="0"/>
              <w:spacing w:after="0" w:line="360" w:lineRule="auto"/>
              <w:ind w:left="0" w:firstLine="0"/>
            </w:pPr>
            <w:r>
              <w:t>размещение бань, прачечных, объектов торговли и общественного питания, мотелей, гостиницы;</w:t>
            </w:r>
          </w:p>
          <w:p>
            <w:pPr>
              <w:keepLines/>
              <w:numPr>
                <w:ilvl w:val="0"/>
                <w:numId w:val="50"/>
              </w:numPr>
              <w:tabs>
                <w:tab w:val="left" w:pos="408"/>
              </w:tabs>
              <w:suppressAutoHyphens/>
              <w:autoSpaceDE w:val="0"/>
              <w:autoSpaceDN w:val="0"/>
              <w:adjustRightInd w:val="0"/>
              <w:spacing w:after="0" w:line="360" w:lineRule="auto"/>
              <w:ind w:left="0" w:firstLine="0"/>
            </w:pPr>
            <w: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pPr>
              <w:keepLines/>
              <w:numPr>
                <w:ilvl w:val="0"/>
                <w:numId w:val="50"/>
              </w:numPr>
              <w:tabs>
                <w:tab w:val="left" w:pos="408"/>
              </w:tabs>
              <w:suppressAutoHyphens/>
              <w:autoSpaceDE w:val="0"/>
              <w:autoSpaceDN w:val="0"/>
              <w:adjustRightInd w:val="0"/>
              <w:spacing w:after="0" w:line="360" w:lineRule="auto"/>
              <w:ind w:left="0" w:firstLine="0"/>
            </w:pPr>
            <w:r>
              <w:t>станции технического обслуживания автомобилей;</w:t>
            </w:r>
          </w:p>
          <w:p>
            <w:pPr>
              <w:keepLines/>
              <w:numPr>
                <w:ilvl w:val="0"/>
                <w:numId w:val="50"/>
              </w:numPr>
              <w:tabs>
                <w:tab w:val="left" w:pos="408"/>
              </w:tabs>
              <w:suppressAutoHyphens/>
              <w:autoSpaceDE w:val="0"/>
              <w:autoSpaceDN w:val="0"/>
              <w:adjustRightInd w:val="0"/>
              <w:spacing w:after="0" w:line="360" w:lineRule="auto"/>
              <w:ind w:left="0" w:firstLine="0"/>
            </w:pPr>
            <w: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pPr>
              <w:keepLines/>
              <w:suppressAutoHyphens/>
              <w:spacing w:after="0" w:line="360" w:lineRule="auto"/>
              <w:rPr>
                <w:rFonts w:eastAsia="Times New Roman"/>
                <w:lang w:eastAsia="ru-RU"/>
              </w:rPr>
            </w:pPr>
          </w:p>
        </w:tc>
      </w:tr>
    </w:tbl>
    <w:p>
      <w:pPr>
        <w:keepLines/>
        <w:suppressAutoHyphens/>
        <w:spacing w:after="0" w:line="360" w:lineRule="auto"/>
        <w:ind w:firstLine="851"/>
        <w:jc w:val="both"/>
      </w:pPr>
    </w:p>
    <w:p>
      <w:pPr>
        <w:pStyle w:val="2"/>
        <w:keepLines/>
        <w:pageBreakBefore/>
        <w:numPr>
          <w:ilvl w:val="0"/>
          <w:numId w:val="51"/>
        </w:numPr>
        <w:tabs>
          <w:tab w:val="left" w:pos="0"/>
        </w:tabs>
        <w:suppressAutoHyphens/>
        <w:spacing w:before="0" w:after="0" w:line="360" w:lineRule="auto"/>
        <w:ind w:left="0" w:firstLine="0"/>
        <w:jc w:val="center"/>
        <w:rPr>
          <w:rFonts w:ascii="Times New Roman" w:hAnsi="Times New Roman"/>
        </w:rPr>
      </w:pPr>
      <w:bookmarkStart w:id="235" w:name="_Toc57203232"/>
      <w:r>
        <w:rPr>
          <w:rFonts w:ascii="Times New Roman" w:hAnsi="Times New Roman"/>
        </w:rPr>
        <w:t>ОЦЕНКА ВОЗМОЖНОГО ВЛИЯНИЯ ПЛАНИРУЕМЫХ ДЛЯ РАЗМЕЩЕНИЯ ОБЪЕКТОВ МЕСТНОГО ЗНАЧЕНИЯ НА КОМПЛЕКСНОЕ РАЗВИТИЕ</w:t>
      </w:r>
      <w:bookmarkEnd w:id="235"/>
    </w:p>
    <w:p>
      <w:pPr>
        <w:pStyle w:val="147"/>
        <w:keepLines/>
        <w:spacing w:after="0" w:line="360" w:lineRule="auto"/>
        <w:ind w:left="-142" w:firstLine="851"/>
        <w:jc w:val="both"/>
      </w:pP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результате анализа использования территории села проектом предложена градостроительная модель комплексного решения экономических, социальных, экологических проблем, направленных на обеспечение устойчивого развития населенного пункта, а именно:</w:t>
      </w:r>
    </w:p>
    <w:p>
      <w:pPr>
        <w:pStyle w:val="282"/>
        <w:numPr>
          <w:ilvl w:val="0"/>
          <w:numId w:val="43"/>
        </w:numPr>
        <w:rPr>
          <w:sz w:val="24"/>
        </w:rPr>
      </w:pPr>
      <w:r>
        <w:rPr>
          <w:sz w:val="24"/>
        </w:rPr>
        <w:t>комплексное территориальное развитие села на I очередь (до 2030 года), расчетный срок (до 2040 года);</w:t>
      </w:r>
    </w:p>
    <w:p>
      <w:pPr>
        <w:pStyle w:val="282"/>
        <w:numPr>
          <w:ilvl w:val="0"/>
          <w:numId w:val="43"/>
        </w:numPr>
        <w:rPr>
          <w:sz w:val="24"/>
        </w:rPr>
      </w:pPr>
      <w:r>
        <w:rPr>
          <w:sz w:val="24"/>
        </w:rPr>
        <w:t>функциональное зонирование территории;</w:t>
      </w:r>
    </w:p>
    <w:p>
      <w:pPr>
        <w:pStyle w:val="282"/>
        <w:numPr>
          <w:ilvl w:val="0"/>
          <w:numId w:val="43"/>
        </w:numPr>
        <w:rPr>
          <w:sz w:val="24"/>
        </w:rPr>
      </w:pPr>
      <w:r>
        <w:rPr>
          <w:sz w:val="24"/>
        </w:rPr>
        <w:t>организация структуры транспортных магистралей и увязка ее с внешней транспортной структурой;</w:t>
      </w:r>
    </w:p>
    <w:p>
      <w:pPr>
        <w:pStyle w:val="282"/>
        <w:numPr>
          <w:ilvl w:val="0"/>
          <w:numId w:val="43"/>
        </w:numPr>
        <w:rPr>
          <w:sz w:val="24"/>
        </w:rPr>
      </w:pPr>
      <w:r>
        <w:rPr>
          <w:sz w:val="24"/>
        </w:rPr>
        <w:t>освоение новых территорий, прилегающих к существующей застройке, на основе развития инфраструктуры, транспорта, инженерных коммуникаций и сооружений, структуры обслуживания;</w:t>
      </w:r>
    </w:p>
    <w:p>
      <w:pPr>
        <w:pStyle w:val="282"/>
        <w:numPr>
          <w:ilvl w:val="0"/>
          <w:numId w:val="43"/>
        </w:numPr>
        <w:rPr>
          <w:sz w:val="24"/>
        </w:rPr>
      </w:pPr>
      <w:r>
        <w:rPr>
          <w:sz w:val="24"/>
        </w:rPr>
        <w:t>реконструкция центральной части села и существующего общественного центра;</w:t>
      </w:r>
    </w:p>
    <w:p>
      <w:pPr>
        <w:pStyle w:val="282"/>
        <w:numPr>
          <w:ilvl w:val="0"/>
          <w:numId w:val="43"/>
        </w:numPr>
        <w:rPr>
          <w:sz w:val="24"/>
        </w:rPr>
      </w:pPr>
      <w:r>
        <w:rPr>
          <w:sz w:val="24"/>
        </w:rPr>
        <w:t>организация новых центров обслуживания в проектируемых жилых районах;</w:t>
      </w:r>
    </w:p>
    <w:p>
      <w:pPr>
        <w:pStyle w:val="282"/>
        <w:numPr>
          <w:ilvl w:val="0"/>
          <w:numId w:val="43"/>
        </w:numPr>
        <w:rPr>
          <w:sz w:val="24"/>
        </w:rPr>
      </w:pPr>
      <w:r>
        <w:rPr>
          <w:sz w:val="24"/>
        </w:rPr>
        <w:t>перспективное направление развития производственной зоны;</w:t>
      </w:r>
    </w:p>
    <w:p>
      <w:pPr>
        <w:pStyle w:val="282"/>
        <w:numPr>
          <w:ilvl w:val="0"/>
          <w:numId w:val="43"/>
        </w:numPr>
        <w:rPr>
          <w:sz w:val="24"/>
        </w:rPr>
      </w:pPr>
      <w:r>
        <w:rPr>
          <w:sz w:val="24"/>
        </w:rPr>
        <w:t>внедрение наукоемких экологически чистых технологий с целью реконструкции и модернизации вредных производств;</w:t>
      </w:r>
    </w:p>
    <w:p>
      <w:pPr>
        <w:pStyle w:val="282"/>
        <w:numPr>
          <w:ilvl w:val="0"/>
          <w:numId w:val="43"/>
        </w:numPr>
        <w:rPr>
          <w:sz w:val="24"/>
        </w:rPr>
      </w:pPr>
      <w:r>
        <w:rPr>
          <w:sz w:val="24"/>
        </w:rPr>
        <w:t>развитие и освоение рекреационной природной зоны.</w:t>
      </w:r>
    </w:p>
    <w:p>
      <w:pPr>
        <w:keepLines/>
        <w:suppressAutoHyphens/>
        <w:spacing w:after="0" w:line="360" w:lineRule="auto"/>
        <w:jc w:val="both"/>
      </w:pPr>
    </w:p>
    <w:p>
      <w:pPr>
        <w:keepLines/>
        <w:suppressAutoHyphens/>
        <w:spacing w:after="0" w:line="360" w:lineRule="auto"/>
        <w:jc w:val="both"/>
      </w:pPr>
    </w:p>
    <w:p>
      <w:pPr>
        <w:spacing w:line="360" w:lineRule="auto"/>
        <w:jc w:val="center"/>
        <w:rPr>
          <w:b/>
          <w:sz w:val="20"/>
          <w:szCs w:val="20"/>
        </w:rPr>
        <w:sectPr>
          <w:footerReference r:id="rId9" w:type="default"/>
          <w:type w:val="continuous"/>
          <w:pgSz w:w="11906" w:h="16838"/>
          <w:pgMar w:top="1134" w:right="1134" w:bottom="1134" w:left="992" w:header="709" w:footer="709" w:gutter="0"/>
          <w:cols w:space="708" w:num="1"/>
          <w:docGrid w:linePitch="360" w:charSpace="0"/>
        </w:sectPr>
      </w:pPr>
    </w:p>
    <w:bookmarkEnd w:id="179"/>
    <w:p>
      <w:pPr>
        <w:pStyle w:val="2"/>
        <w:keepLines/>
        <w:pageBreakBefore/>
        <w:numPr>
          <w:ilvl w:val="0"/>
          <w:numId w:val="51"/>
        </w:numPr>
        <w:tabs>
          <w:tab w:val="left" w:pos="0"/>
        </w:tabs>
        <w:suppressAutoHyphens/>
        <w:spacing w:before="0" w:after="400" w:line="360" w:lineRule="auto"/>
        <w:ind w:left="0" w:firstLine="0"/>
        <w:jc w:val="center"/>
        <w:rPr>
          <w:rFonts w:ascii="Times New Roman" w:hAnsi="Times New Roman"/>
        </w:rPr>
      </w:pPr>
      <w:bookmarkStart w:id="236" w:name="_Toc57203233"/>
      <w:bookmarkStart w:id="237" w:name="_Toc342472340"/>
      <w:r>
        <w:rPr>
          <w:rFonts w:ascii="Times New Roman" w:hAnsi="Times New Roman"/>
        </w:rPr>
        <w:t>МЕРОПРИЯТИЯ, УТВЕРЖДЕННЫЕ ДОКУМЕНТАМИ ТЕРРИТОРИАЛЬНОГО ПЛАНИРОВАНИЯ</w:t>
      </w:r>
      <w:bookmarkEnd w:id="236"/>
      <w:r>
        <w:rPr>
          <w:rFonts w:ascii="Times New Roman" w:hAnsi="Times New Roman"/>
        </w:rPr>
        <w:t xml:space="preserve"> </w:t>
      </w:r>
      <w:bookmarkEnd w:id="237"/>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Схемой территориального планирования Российской Федерации и схемой территориального планирования Краснодарского края на территории Ейскоукрепленского</w:t>
      </w:r>
      <w:r>
        <w:rPr>
          <w:shd w:val="clear" w:color="auto" w:fill="FFFFFF"/>
        </w:rPr>
        <w:t xml:space="preserve"> сельского поселения</w:t>
      </w:r>
      <w:r>
        <w:rPr>
          <w:rFonts w:eastAsia="Times New Roman"/>
          <w:kern w:val="0"/>
          <w:lang w:eastAsia="ru-RU"/>
        </w:rPr>
        <w:t xml:space="preserve"> предусмотрены следующие мероприятия:</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spacing w:line="240" w:lineRule="auto"/>
        <w:jc w:val="center"/>
        <w:rPr>
          <w:b/>
          <w:bCs/>
        </w:rPr>
      </w:pPr>
      <w:r>
        <w:rPr>
          <w:b/>
          <w:bCs/>
        </w:rPr>
        <w:t xml:space="preserve">Мероприятия, предусмотренные Схемами территориального планирования Российской Федерации и Краснодарского края на территории Ейскоукрепленского сельского поселения </w:t>
      </w:r>
    </w:p>
    <w:p>
      <w:pPr>
        <w:pStyle w:val="147"/>
        <w:numPr>
          <w:ilvl w:val="0"/>
          <w:numId w:val="23"/>
        </w:numPr>
        <w:ind w:right="142"/>
        <w:jc w:val="right"/>
        <w:rPr>
          <w:b/>
          <w:bCs/>
        </w:rPr>
      </w:pPr>
      <w:r>
        <w:rPr>
          <w:b/>
          <w:bCs/>
        </w:rPr>
        <w:t xml:space="preserve">Таблица </w:t>
      </w:r>
      <w:r>
        <w:rPr>
          <w:rFonts w:hint="default"/>
          <w:b/>
          <w:bCs/>
          <w:lang w:val="ru-RU"/>
        </w:rPr>
        <w:t>29</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3232"/>
        <w:gridCol w:w="1418"/>
        <w:gridCol w:w="1894"/>
        <w:gridCol w:w="1230"/>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restart"/>
            <w:vAlign w:val="center"/>
          </w:tcPr>
          <w:p>
            <w:pPr>
              <w:spacing w:after="0" w:line="240" w:lineRule="auto"/>
              <w:jc w:val="center"/>
              <w:rPr>
                <w:rFonts w:eastAsia="Times New Roman"/>
                <w:bCs/>
                <w:kern w:val="0"/>
                <w:cs/>
                <w:lang w:eastAsia="ru-RU"/>
              </w:rPr>
            </w:pPr>
            <w:r>
              <w:rPr>
                <w:rFonts w:eastAsia="Times New Roman"/>
                <w:bCs/>
                <w:kern w:val="0"/>
                <w:cs/>
                <w:lang w:eastAsia="ru-RU"/>
              </w:rPr>
              <w:t>№ п/п</w:t>
            </w:r>
          </w:p>
        </w:tc>
        <w:tc>
          <w:tcPr>
            <w:tcW w:w="1623" w:type="pct"/>
            <w:vMerge w:val="restart"/>
            <w:vAlign w:val="center"/>
          </w:tcPr>
          <w:p>
            <w:pPr>
              <w:spacing w:after="0" w:line="240" w:lineRule="auto"/>
              <w:jc w:val="center"/>
              <w:rPr>
                <w:rFonts w:eastAsia="Times New Roman"/>
                <w:bCs/>
                <w:kern w:val="0"/>
                <w:cs/>
                <w:lang w:eastAsia="ru-RU"/>
              </w:rPr>
            </w:pPr>
            <w:r>
              <w:rPr>
                <w:rFonts w:eastAsia="Times New Roman"/>
                <w:bCs/>
                <w:kern w:val="0"/>
                <w:cs/>
                <w:lang w:eastAsia="ru-RU"/>
              </w:rPr>
              <w:t>Наименование</w:t>
            </w:r>
          </w:p>
        </w:tc>
        <w:tc>
          <w:tcPr>
            <w:tcW w:w="716" w:type="pct"/>
            <w:vMerge w:val="restart"/>
            <w:vAlign w:val="center"/>
          </w:tcPr>
          <w:p>
            <w:pPr>
              <w:spacing w:after="0" w:line="240" w:lineRule="auto"/>
              <w:jc w:val="center"/>
              <w:rPr>
                <w:rFonts w:eastAsia="Times New Roman"/>
                <w:bCs/>
                <w:kern w:val="0"/>
                <w:cs/>
                <w:lang w:eastAsia="ru-RU"/>
              </w:rPr>
            </w:pPr>
            <w:r>
              <w:rPr>
                <w:rFonts w:eastAsia="Times New Roman"/>
                <w:bCs/>
                <w:kern w:val="0"/>
                <w:cs/>
                <w:lang w:eastAsia="ru-RU"/>
              </w:rPr>
              <w:t>Краткая характеристика объекта</w:t>
            </w:r>
          </w:p>
        </w:tc>
        <w:tc>
          <w:tcPr>
            <w:tcW w:w="1575" w:type="pct"/>
            <w:gridSpan w:val="2"/>
            <w:vAlign w:val="center"/>
          </w:tcPr>
          <w:p>
            <w:pPr>
              <w:spacing w:after="0" w:line="240" w:lineRule="auto"/>
              <w:jc w:val="center"/>
              <w:rPr>
                <w:rFonts w:eastAsia="Times New Roman"/>
                <w:bCs/>
                <w:kern w:val="0"/>
                <w:cs/>
                <w:lang w:eastAsia="ru-RU"/>
              </w:rPr>
            </w:pPr>
            <w:r>
              <w:rPr>
                <w:rFonts w:eastAsia="Times New Roman"/>
                <w:bCs/>
                <w:kern w:val="0"/>
                <w:cs/>
                <w:lang w:eastAsia="ru-RU"/>
              </w:rPr>
              <w:t>Местоположение планируемого объекта</w:t>
            </w:r>
          </w:p>
        </w:tc>
        <w:tc>
          <w:tcPr>
            <w:tcW w:w="668" w:type="pct"/>
            <w:vMerge w:val="restart"/>
            <w:vAlign w:val="center"/>
          </w:tcPr>
          <w:p>
            <w:pPr>
              <w:spacing w:after="0" w:line="240" w:lineRule="auto"/>
              <w:jc w:val="center"/>
              <w:rPr>
                <w:rFonts w:eastAsia="Times New Roman"/>
                <w:bCs/>
                <w:kern w:val="0"/>
                <w:cs/>
                <w:lang w:eastAsia="ru-RU"/>
              </w:rPr>
            </w:pPr>
            <w:r>
              <w:rPr>
                <w:rFonts w:eastAsia="Times New Roman"/>
                <w:bCs/>
                <w:kern w:val="0"/>
                <w:cs/>
                <w:lang w:eastAsia="ru-RU"/>
              </w:rPr>
              <w:t>Зоны с особыми условиями использования территории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tcPr>
          <w:p>
            <w:pPr>
              <w:tabs>
                <w:tab w:val="left" w:pos="34"/>
              </w:tabs>
              <w:spacing w:after="0" w:line="240" w:lineRule="auto"/>
              <w:jc w:val="center"/>
              <w:rPr>
                <w:rFonts w:eastAsia="Times New Roman"/>
                <w:kern w:val="0"/>
                <w:cs/>
                <w:lang w:eastAsia="ru-RU"/>
              </w:rPr>
            </w:pPr>
          </w:p>
        </w:tc>
        <w:tc>
          <w:tcPr>
            <w:tcW w:w="1623" w:type="pct"/>
            <w:vMerge w:val="continue"/>
          </w:tcPr>
          <w:p>
            <w:pPr>
              <w:spacing w:after="0" w:line="240" w:lineRule="auto"/>
              <w:rPr>
                <w:rFonts w:eastAsia="Times New Roman"/>
                <w:kern w:val="0"/>
                <w:cs/>
                <w:lang w:eastAsia="ru-RU"/>
              </w:rPr>
            </w:pPr>
          </w:p>
        </w:tc>
        <w:tc>
          <w:tcPr>
            <w:tcW w:w="716" w:type="pct"/>
            <w:vMerge w:val="continue"/>
          </w:tcPr>
          <w:p>
            <w:pPr>
              <w:spacing w:after="0" w:line="240" w:lineRule="auto"/>
              <w:rPr>
                <w:rFonts w:eastAsia="Times New Roman"/>
                <w:kern w:val="0"/>
                <w:cs/>
                <w:lang w:eastAsia="ru-RU"/>
              </w:rPr>
            </w:pPr>
          </w:p>
        </w:tc>
        <w:tc>
          <w:tcPr>
            <w:tcW w:w="954" w:type="pct"/>
            <w:vAlign w:val="center"/>
          </w:tcPr>
          <w:p>
            <w:pPr>
              <w:spacing w:after="0" w:line="240" w:lineRule="auto"/>
              <w:jc w:val="center"/>
              <w:rPr>
                <w:rFonts w:eastAsia="Times New Roman"/>
                <w:bCs/>
                <w:kern w:val="0"/>
                <w:cs/>
                <w:lang w:eastAsia="ru-RU"/>
              </w:rPr>
            </w:pPr>
            <w:r>
              <w:rPr>
                <w:rFonts w:eastAsia="Times New Roman"/>
                <w:bCs/>
                <w:kern w:val="0"/>
                <w:cs/>
                <w:lang w:eastAsia="ru-RU"/>
              </w:rPr>
              <w:t>Муниципальное образование</w:t>
            </w:r>
          </w:p>
        </w:tc>
        <w:tc>
          <w:tcPr>
            <w:tcW w:w="621" w:type="pct"/>
            <w:vAlign w:val="center"/>
          </w:tcPr>
          <w:p>
            <w:pPr>
              <w:spacing w:after="0" w:line="240" w:lineRule="auto"/>
              <w:jc w:val="center"/>
              <w:rPr>
                <w:rFonts w:eastAsia="Times New Roman"/>
                <w:bCs/>
                <w:kern w:val="0"/>
                <w:cs/>
                <w:lang w:eastAsia="ru-RU"/>
              </w:rPr>
            </w:pPr>
            <w:r>
              <w:rPr>
                <w:rFonts w:eastAsia="Times New Roman"/>
                <w:bCs/>
                <w:kern w:val="0"/>
                <w:cs/>
                <w:lang w:eastAsia="ru-RU"/>
              </w:rPr>
              <w:t>Населенный пункт</w:t>
            </w:r>
          </w:p>
        </w:tc>
        <w:tc>
          <w:tcPr>
            <w:tcW w:w="668" w:type="pct"/>
            <w:vMerge w:val="continue"/>
          </w:tcPr>
          <w:p>
            <w:pPr>
              <w:spacing w:after="0" w:line="240" w:lineRule="auto"/>
              <w:jc w:val="both"/>
              <w:rPr>
                <w:rFonts w:eastAsia="Times New Roman"/>
                <w:kern w:val="0"/>
                <w:cs/>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tcPr>
          <w:p>
            <w:pPr>
              <w:tabs>
                <w:tab w:val="left" w:pos="34"/>
              </w:tabs>
              <w:spacing w:after="0" w:line="240" w:lineRule="auto"/>
              <w:jc w:val="center"/>
              <w:rPr>
                <w:rFonts w:eastAsia="Times New Roman"/>
                <w:bCs/>
                <w:kern w:val="0"/>
                <w:cs/>
                <w:lang w:eastAsia="ru-RU"/>
              </w:rPr>
            </w:pPr>
            <w:r>
              <w:rPr>
                <w:rFonts w:eastAsia="Times New Roman"/>
                <w:bCs/>
                <w:kern w:val="0"/>
                <w:cs/>
                <w:lang w:eastAsia="ru-RU"/>
              </w:rPr>
              <w:t>1</w:t>
            </w:r>
          </w:p>
        </w:tc>
        <w:tc>
          <w:tcPr>
            <w:tcW w:w="1623" w:type="pct"/>
          </w:tcPr>
          <w:p>
            <w:pPr>
              <w:spacing w:after="0" w:line="240" w:lineRule="auto"/>
              <w:jc w:val="center"/>
              <w:rPr>
                <w:rFonts w:eastAsia="Times New Roman"/>
                <w:bCs/>
                <w:kern w:val="0"/>
                <w:cs/>
                <w:lang w:eastAsia="ru-RU"/>
              </w:rPr>
            </w:pPr>
            <w:r>
              <w:rPr>
                <w:rFonts w:eastAsia="Times New Roman"/>
                <w:bCs/>
                <w:kern w:val="0"/>
                <w:cs/>
                <w:lang w:eastAsia="ru-RU"/>
              </w:rPr>
              <w:t>2</w:t>
            </w:r>
          </w:p>
        </w:tc>
        <w:tc>
          <w:tcPr>
            <w:tcW w:w="716" w:type="pct"/>
          </w:tcPr>
          <w:p>
            <w:pPr>
              <w:spacing w:after="0" w:line="240" w:lineRule="auto"/>
              <w:jc w:val="center"/>
              <w:rPr>
                <w:rFonts w:eastAsia="Times New Roman"/>
                <w:bCs/>
                <w:kern w:val="0"/>
                <w:cs/>
                <w:lang w:eastAsia="ru-RU"/>
              </w:rPr>
            </w:pPr>
            <w:r>
              <w:rPr>
                <w:rFonts w:eastAsia="Times New Roman"/>
                <w:bCs/>
                <w:kern w:val="0"/>
                <w:cs/>
                <w:lang w:eastAsia="ru-RU"/>
              </w:rPr>
              <w:t>3</w:t>
            </w:r>
          </w:p>
        </w:tc>
        <w:tc>
          <w:tcPr>
            <w:tcW w:w="954" w:type="pct"/>
          </w:tcPr>
          <w:p>
            <w:pPr>
              <w:spacing w:after="0" w:line="240" w:lineRule="auto"/>
              <w:jc w:val="center"/>
              <w:rPr>
                <w:rFonts w:eastAsia="Times New Roman"/>
                <w:bCs/>
                <w:kern w:val="0"/>
                <w:cs/>
                <w:lang w:eastAsia="ru-RU"/>
              </w:rPr>
            </w:pPr>
            <w:r>
              <w:rPr>
                <w:rFonts w:eastAsia="Times New Roman"/>
                <w:bCs/>
                <w:kern w:val="0"/>
                <w:cs/>
                <w:lang w:eastAsia="ru-RU"/>
              </w:rPr>
              <w:t>4</w:t>
            </w:r>
          </w:p>
        </w:tc>
        <w:tc>
          <w:tcPr>
            <w:tcW w:w="621" w:type="pct"/>
          </w:tcPr>
          <w:p>
            <w:pPr>
              <w:spacing w:after="0" w:line="240" w:lineRule="auto"/>
              <w:jc w:val="center"/>
              <w:rPr>
                <w:rFonts w:eastAsia="Times New Roman"/>
                <w:bCs/>
                <w:kern w:val="0"/>
                <w:cs/>
                <w:lang w:eastAsia="ru-RU"/>
              </w:rPr>
            </w:pPr>
            <w:r>
              <w:rPr>
                <w:rFonts w:eastAsia="Times New Roman"/>
                <w:bCs/>
                <w:kern w:val="0"/>
                <w:cs/>
                <w:lang w:eastAsia="ru-RU"/>
              </w:rPr>
              <w:t>5</w:t>
            </w:r>
          </w:p>
        </w:tc>
        <w:tc>
          <w:tcPr>
            <w:tcW w:w="668" w:type="pct"/>
          </w:tcPr>
          <w:p>
            <w:pPr>
              <w:spacing w:after="0" w:line="240" w:lineRule="auto"/>
              <w:jc w:val="center"/>
              <w:rPr>
                <w:rFonts w:eastAsia="Times New Roman"/>
                <w:bCs/>
                <w:kern w:val="0"/>
                <w:cs/>
                <w:lang w:eastAsia="ru-RU"/>
              </w:rPr>
            </w:pPr>
            <w:r>
              <w:rPr>
                <w:rFonts w:eastAsia="Times New Roman"/>
                <w:bCs/>
                <w:kern w:val="0"/>
                <w:cs/>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pPr>
              <w:spacing w:after="0" w:line="240" w:lineRule="auto"/>
              <w:jc w:val="center"/>
              <w:rPr>
                <w:rFonts w:eastAsia="Times New Roman"/>
                <w:kern w:val="0"/>
                <w:cs/>
                <w:lang w:eastAsia="ru-RU"/>
              </w:rPr>
            </w:pPr>
            <w:r>
              <w:rPr>
                <w:rFonts w:eastAsia="Times New Roman"/>
                <w:kern w:val="0"/>
                <w:cs/>
                <w:lang w:eastAsia="ru-RU"/>
              </w:rPr>
              <w:t>Перечень автомобильных дорог регионального или межмуниципального значения, планируемых к реконструкции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tcPr>
          <w:p>
            <w:pPr>
              <w:tabs>
                <w:tab w:val="left" w:pos="34"/>
              </w:tabs>
              <w:spacing w:after="0" w:line="240" w:lineRule="auto"/>
              <w:jc w:val="center"/>
              <w:rPr>
                <w:rFonts w:eastAsia="Times New Roman"/>
                <w:kern w:val="0"/>
                <w:cs/>
                <w:lang w:eastAsia="ru-RU"/>
              </w:rPr>
            </w:pPr>
            <w:r>
              <w:rPr>
                <w:rFonts w:eastAsia="Times New Roman"/>
                <w:kern w:val="0"/>
                <w:cs/>
                <w:lang w:eastAsia="ru-RU"/>
              </w:rPr>
              <w:t>1</w:t>
            </w:r>
          </w:p>
        </w:tc>
        <w:tc>
          <w:tcPr>
            <w:tcW w:w="1623" w:type="pct"/>
          </w:tcPr>
          <w:p>
            <w:pPr>
              <w:spacing w:after="0" w:line="240" w:lineRule="auto"/>
              <w:rPr>
                <w:rFonts w:eastAsia="Times New Roman"/>
                <w:kern w:val="0"/>
                <w:cs/>
                <w:lang w:eastAsia="ru-RU"/>
              </w:rPr>
            </w:pPr>
            <w:r>
              <w:rPr>
                <w:rFonts w:eastAsia="Times New Roman"/>
                <w:kern w:val="0"/>
                <w:cs/>
                <w:lang w:eastAsia="ru-RU"/>
              </w:rPr>
              <w:t>с. Ейское Укрепление – хут. Любимов</w:t>
            </w:r>
          </w:p>
        </w:tc>
        <w:tc>
          <w:tcPr>
            <w:tcW w:w="716" w:type="pct"/>
          </w:tcPr>
          <w:p>
            <w:pPr>
              <w:spacing w:after="0" w:line="240" w:lineRule="auto"/>
              <w:rPr>
                <w:rFonts w:eastAsia="Times New Roman"/>
                <w:kern w:val="0"/>
                <w:cs/>
                <w:lang w:eastAsia="ru-RU"/>
              </w:rPr>
            </w:pPr>
            <w:r>
              <w:rPr>
                <w:rFonts w:eastAsia="Times New Roman"/>
                <w:kern w:val="0"/>
                <w:cs/>
                <w:lang w:eastAsia="ru-RU"/>
              </w:rPr>
              <w:t>28,347 км</w:t>
            </w:r>
          </w:p>
        </w:tc>
        <w:tc>
          <w:tcPr>
            <w:tcW w:w="954" w:type="pct"/>
          </w:tcPr>
          <w:p>
            <w:pPr>
              <w:spacing w:after="0" w:line="240" w:lineRule="auto"/>
              <w:rPr>
                <w:rFonts w:eastAsia="Times New Roman"/>
                <w:kern w:val="0"/>
                <w:cs/>
                <w:lang w:eastAsia="ru-RU"/>
              </w:rPr>
            </w:pPr>
            <w:r>
              <w:rPr>
                <w:rFonts w:eastAsia="Times New Roman"/>
                <w:kern w:val="0"/>
                <w:cs/>
                <w:lang w:eastAsia="ru-RU"/>
              </w:rPr>
              <w:t>Щербиновский район</w:t>
            </w:r>
          </w:p>
        </w:tc>
        <w:tc>
          <w:tcPr>
            <w:tcW w:w="621" w:type="pct"/>
          </w:tcPr>
          <w:p>
            <w:pPr>
              <w:spacing w:after="0" w:line="240" w:lineRule="auto"/>
              <w:rPr>
                <w:rFonts w:eastAsia="Times New Roman"/>
                <w:kern w:val="0"/>
                <w:cs/>
                <w:lang w:eastAsia="ru-RU"/>
              </w:rPr>
            </w:pPr>
            <w:r>
              <w:rPr>
                <w:rFonts w:eastAsia="Times New Roman"/>
                <w:kern w:val="0"/>
                <w:cs/>
                <w:lang w:eastAsia="ru-RU"/>
              </w:rPr>
              <w:t>-</w:t>
            </w:r>
          </w:p>
        </w:tc>
        <w:tc>
          <w:tcPr>
            <w:tcW w:w="668" w:type="pct"/>
          </w:tcPr>
          <w:p>
            <w:pPr>
              <w:spacing w:after="0" w:line="240" w:lineRule="auto"/>
              <w:jc w:val="both"/>
              <w:rPr>
                <w:rFonts w:eastAsia="Times New Roman"/>
                <w:kern w:val="0"/>
                <w:cs/>
                <w:lang w:eastAsia="ru-RU"/>
              </w:rPr>
            </w:pPr>
            <w:r>
              <w:rPr>
                <w:rFonts w:eastAsia="Times New Roman"/>
                <w:kern w:val="0"/>
                <w:cs/>
                <w:lang w:eastAsia="ru-RU"/>
              </w:rPr>
              <w:t>придорожная полоса</w:t>
            </w:r>
          </w:p>
        </w:tc>
      </w:tr>
    </w:tbl>
    <w:p>
      <w:pPr>
        <w:keepLines/>
        <w:widowControl w:val="0"/>
        <w:suppressAutoHyphens/>
        <w:adjustRightInd w:val="0"/>
        <w:spacing w:after="0" w:line="360" w:lineRule="auto"/>
        <w:ind w:firstLine="851"/>
        <w:jc w:val="both"/>
        <w:textAlignment w:val="baseline"/>
        <w:rPr>
          <w:rFonts w:eastAsia="Times New Roman"/>
          <w:kern w:val="0"/>
          <w:lang w:eastAsia="ru-RU"/>
        </w:rPr>
      </w:pPr>
    </w:p>
    <w:p>
      <w:pPr>
        <w:keepLines/>
        <w:widowControl w:val="0"/>
        <w:suppressAutoHyphens/>
        <w:adjustRightInd w:val="0"/>
        <w:spacing w:after="0" w:line="360" w:lineRule="auto"/>
        <w:ind w:firstLine="851"/>
        <w:jc w:val="both"/>
        <w:textAlignment w:val="baseline"/>
        <w:rPr>
          <w:rFonts w:eastAsia="Times New Roman"/>
          <w:kern w:val="0"/>
          <w:lang w:eastAsia="ru-RU"/>
        </w:rPr>
      </w:pPr>
    </w:p>
    <w:p>
      <w:pPr>
        <w:keepLines/>
        <w:widowControl w:val="0"/>
        <w:suppressAutoHyphens/>
        <w:adjustRightInd w:val="0"/>
        <w:spacing w:after="0" w:line="360" w:lineRule="auto"/>
        <w:ind w:firstLine="851"/>
        <w:jc w:val="both"/>
        <w:textAlignment w:val="baseline"/>
        <w:rPr>
          <w:rFonts w:eastAsia="Times New Roman"/>
          <w:kern w:val="0"/>
          <w:lang w:eastAsia="ru-RU"/>
        </w:rPr>
      </w:pPr>
    </w:p>
    <w:p>
      <w:pPr>
        <w:pStyle w:val="2"/>
        <w:keepLines/>
        <w:pageBreakBefore/>
        <w:numPr>
          <w:ilvl w:val="1"/>
          <w:numId w:val="52"/>
        </w:numPr>
        <w:tabs>
          <w:tab w:val="left" w:pos="0"/>
        </w:tabs>
        <w:suppressAutoHyphens/>
        <w:spacing w:before="0" w:after="0" w:line="360" w:lineRule="auto"/>
        <w:ind w:hanging="851"/>
        <w:jc w:val="center"/>
        <w:rPr>
          <w:rFonts w:ascii="Times New Roman" w:hAnsi="Times New Roman"/>
          <w:szCs w:val="30"/>
        </w:rPr>
      </w:pPr>
      <w:bookmarkStart w:id="238" w:name="_Toc343076308"/>
      <w:bookmarkStart w:id="239" w:name="_Toc57203234"/>
      <w:r>
        <w:rPr>
          <w:rFonts w:ascii="Times New Roman" w:hAnsi="Times New Roman"/>
        </w:rPr>
        <w:t>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bookmarkEnd w:id="238"/>
      <w:bookmarkEnd w:id="239"/>
    </w:p>
    <w:p>
      <w:pPr>
        <w:keepLines/>
        <w:suppressAutoHyphens/>
        <w:spacing w:after="0" w:line="360" w:lineRule="auto"/>
        <w:ind w:firstLine="851"/>
        <w:jc w:val="both"/>
        <w:rPr>
          <w:iCs/>
        </w:rPr>
      </w:pP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Общая площадь земель Ейскоукрепленского сельского поселения составляет 9531 га.</w:t>
      </w:r>
    </w:p>
    <w:p>
      <w:pPr>
        <w:keepLines/>
        <w:widowControl w:val="0"/>
        <w:suppressAutoHyphens/>
        <w:adjustRightInd w:val="0"/>
        <w:spacing w:after="0" w:line="360" w:lineRule="auto"/>
        <w:ind w:firstLine="851"/>
        <w:jc w:val="both"/>
        <w:textAlignment w:val="baseline"/>
        <w:rPr>
          <w:rFonts w:eastAsia="Times New Roman"/>
          <w:kern w:val="0"/>
          <w:lang w:eastAsia="ru-RU"/>
        </w:rPr>
        <w:sectPr>
          <w:pgSz w:w="11906" w:h="16838"/>
          <w:pgMar w:top="1134" w:right="1134" w:bottom="1134" w:left="992" w:header="709" w:footer="709" w:gutter="0"/>
          <w:cols w:space="708" w:num="1"/>
          <w:docGrid w:linePitch="360" w:charSpace="0"/>
        </w:sectPr>
      </w:pPr>
      <w:r>
        <w:rPr>
          <w:rFonts w:eastAsia="Times New Roman"/>
          <w:kern w:val="0"/>
          <w:lang w:eastAsia="ru-RU"/>
        </w:rPr>
        <w:t xml:space="preserve">На территории  Ейскоукрепленского сельского поселения отсутствуют  земельные участки включаемые в границы муниципального образования, или исключаются из его границ. </w:t>
      </w:r>
    </w:p>
    <w:p>
      <w:pPr>
        <w:keepNext/>
        <w:pageBreakBefore/>
        <w:widowControl w:val="0"/>
        <w:tabs>
          <w:tab w:val="left" w:pos="-1701"/>
        </w:tabs>
        <w:suppressAutoHyphens/>
        <w:adjustRightInd w:val="0"/>
        <w:spacing w:after="480" w:line="360" w:lineRule="auto"/>
        <w:ind w:right="-1" w:firstLine="851"/>
        <w:jc w:val="center"/>
        <w:textAlignment w:val="baseline"/>
        <w:outlineLvl w:val="0"/>
        <w:rPr>
          <w:rFonts w:eastAsia="Times New Roman"/>
          <w:b/>
          <w:bCs/>
          <w:kern w:val="32"/>
          <w:sz w:val="32"/>
          <w:szCs w:val="32"/>
          <w:lang w:eastAsia="ru-RU"/>
        </w:rPr>
      </w:pPr>
      <w:bookmarkStart w:id="240" w:name="_Toc442791873"/>
      <w:bookmarkStart w:id="241" w:name="_Toc57203235"/>
      <w:r>
        <w:rPr>
          <w:rFonts w:eastAsia="Times New Roman"/>
          <w:b/>
          <w:bCs/>
          <w:kern w:val="32"/>
          <w:sz w:val="32"/>
          <w:szCs w:val="32"/>
          <w:lang w:eastAsia="ru-RU"/>
        </w:rPr>
        <w:t xml:space="preserve">6. </w:t>
      </w:r>
      <w:bookmarkEnd w:id="240"/>
      <w:r>
        <w:rPr>
          <w:rFonts w:eastAsia="Times New Roman"/>
          <w:b/>
          <w:bCs/>
          <w:kern w:val="32"/>
          <w:sz w:val="32"/>
          <w:szCs w:val="32"/>
          <w:lang w:eastAsia="ru-RU"/>
        </w:rPr>
        <w:t>СВЕДЕНИЯ ОБ УТВЕРЖДЕННЫХ ПРЕДМЕТАХ ОХРАНЫ И ГРАНИЦАХ ТЕРРИТОРИЙ ИСТОРИЧЕСКИХ ОБРАЗОВАНИЙ ФЕДЕРАЛЬНОГО ЗНАЧЕНИЯ И ИСТОРИЧЕСКИХ ОБРАЗОВАНИЙ РЕГИОНАЛЬНОГО ЗНАЧЕНИЯ</w:t>
      </w:r>
      <w:bookmarkEnd w:id="241"/>
    </w:p>
    <w:p>
      <w:pPr>
        <w:tabs>
          <w:tab w:val="left" w:pos="-1701"/>
        </w:tabs>
        <w:spacing w:line="360" w:lineRule="auto"/>
        <w:ind w:right="-1" w:firstLine="851"/>
        <w:jc w:val="both"/>
        <w:rPr>
          <w:rFonts w:eastAsia="Times New Roman"/>
          <w:bCs/>
          <w:kern w:val="0"/>
          <w:lang w:eastAsia="ru-RU"/>
        </w:rPr>
      </w:pPr>
      <w:r>
        <w:rPr>
          <w:rFonts w:eastAsia="Times New Roman"/>
          <w:bCs/>
          <w:kern w:val="0"/>
          <w:lang w:eastAsia="ru-RU"/>
        </w:rPr>
        <w:t>На территории сельского поселения отсутствуют населенные пункты, включенные в «Перечень исторических образований» Федерального значения.</w:t>
      </w: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firstLine="851"/>
        <w:jc w:val="both"/>
        <w:rPr>
          <w:rFonts w:eastAsia="Times New Roman"/>
          <w:bCs/>
          <w:kern w:val="0"/>
          <w:lang w:eastAsia="ru-RU"/>
        </w:rPr>
      </w:pPr>
    </w:p>
    <w:p>
      <w:pPr>
        <w:spacing w:line="360" w:lineRule="auto"/>
        <w:ind w:right="-852"/>
        <w:jc w:val="both"/>
        <w:rPr>
          <w:rFonts w:eastAsia="Times New Roman"/>
          <w:bCs/>
          <w:kern w:val="0"/>
          <w:lang w:eastAsia="ru-RU"/>
        </w:rPr>
      </w:pPr>
    </w:p>
    <w:p>
      <w:pPr>
        <w:keepLines/>
        <w:pageBreakBefore/>
        <w:suppressAutoHyphens/>
        <w:spacing w:line="360" w:lineRule="auto"/>
        <w:ind w:right="-1" w:firstLine="851"/>
        <w:jc w:val="center"/>
        <w:outlineLvl w:val="0"/>
        <w:rPr>
          <w:b/>
          <w:sz w:val="28"/>
          <w:szCs w:val="28"/>
        </w:rPr>
      </w:pPr>
      <w:bookmarkStart w:id="242" w:name="_Toc57203236"/>
      <w:r>
        <w:rPr>
          <w:rFonts w:eastAsia="Times New Roman"/>
          <w:b/>
          <w:bCs/>
          <w:kern w:val="0"/>
          <w:sz w:val="32"/>
          <w:szCs w:val="32"/>
          <w:lang w:eastAsia="ru-RU"/>
        </w:rPr>
        <w:t>7.</w:t>
      </w:r>
      <w:r>
        <w:rPr>
          <w:b/>
          <w:sz w:val="28"/>
          <w:szCs w:val="28"/>
        </w:rPr>
        <w:t xml:space="preserve"> </w:t>
      </w:r>
      <w:r>
        <w:rPr>
          <w:b/>
          <w:sz w:val="32"/>
          <w:szCs w:val="32"/>
        </w:rPr>
        <w:t>ПЕРЕЧЕНЬ И ХАРАКТЕРИСТИКА ОСНОВНЫХ ФАКТОРОВ РИСКА ВОЗНИКНОВЕНИЯ ЧС ПРИРОДНОГО И ТЕХНОГЕННОГО ХАРАКТЕРА</w:t>
      </w:r>
      <w:bookmarkEnd w:id="242"/>
    </w:p>
    <w:p>
      <w:pPr>
        <w:keepLines/>
        <w:widowControl w:val="0"/>
        <w:suppressAutoHyphens/>
        <w:adjustRightInd w:val="0"/>
        <w:spacing w:after="0" w:line="360" w:lineRule="auto"/>
        <w:ind w:firstLine="851"/>
        <w:jc w:val="center"/>
        <w:textAlignment w:val="baseline"/>
        <w:rPr>
          <w:rFonts w:eastAsia="Times New Roman"/>
          <w:b/>
          <w:kern w:val="0"/>
          <w:lang w:eastAsia="ru-RU"/>
        </w:rPr>
      </w:pPr>
      <w:bookmarkStart w:id="243" w:name="_Toc342472343"/>
      <w:bookmarkStart w:id="244" w:name="_Toc364320552"/>
      <w:r>
        <w:rPr>
          <w:rFonts w:eastAsia="Times New Roman"/>
          <w:b/>
          <w:kern w:val="0"/>
          <w:lang w:eastAsia="ru-RU"/>
        </w:rPr>
        <w:t>Перечень основных факторов риска возникновения чрезвычайных ситуаций природного характера.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По ГОСТ 22.0.03-97. «Безопасность в чрезвычайных ситуациях. Природные чрезвычайные ситуации. Термины и определения»: </w:t>
      </w:r>
    </w:p>
    <w:p>
      <w:pPr>
        <w:pStyle w:val="282"/>
        <w:numPr>
          <w:ilvl w:val="0"/>
          <w:numId w:val="43"/>
        </w:numPr>
        <w:rPr>
          <w:sz w:val="24"/>
        </w:rPr>
      </w:pPr>
      <w:r>
        <w:rPr>
          <w:sz w:val="24"/>
        </w:rPr>
        <w:t xml:space="preserve"> Природная чрезвычайная ситуация; природная ЧС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Территория Ейскоукрепленского поселения по комплексу природных условий характеризуется простыми условиями (I), условиями средней сложности (II) и сложными условиями (III) в соответствии с Приложением Б, СП 11-105-97, часть 1.</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Опасность природных явлений по категориям опасности в районе генерального плана в соответствии с СП 115.13330.2016 «Геофизика опасных природных воздействий. Актуализированная редакция СНиП 22-01-95» оценивается следующим образом:</w:t>
      </w:r>
    </w:p>
    <w:p>
      <w:pPr>
        <w:pStyle w:val="282"/>
        <w:numPr>
          <w:ilvl w:val="0"/>
          <w:numId w:val="43"/>
        </w:numPr>
        <w:rPr>
          <w:sz w:val="24"/>
        </w:rPr>
      </w:pPr>
      <w:r>
        <w:rPr>
          <w:sz w:val="24"/>
        </w:rPr>
        <w:t xml:space="preserve">землетрясения – опасная категория; </w:t>
      </w:r>
    </w:p>
    <w:p>
      <w:pPr>
        <w:pStyle w:val="282"/>
        <w:numPr>
          <w:ilvl w:val="0"/>
          <w:numId w:val="43"/>
        </w:numPr>
        <w:rPr>
          <w:sz w:val="24"/>
        </w:rPr>
      </w:pPr>
      <w:r>
        <w:rPr>
          <w:sz w:val="24"/>
        </w:rPr>
        <w:t>просадочность лессовых пород – опасная категория;</w:t>
      </w:r>
    </w:p>
    <w:p>
      <w:pPr>
        <w:pStyle w:val="282"/>
        <w:numPr>
          <w:ilvl w:val="0"/>
          <w:numId w:val="43"/>
        </w:numPr>
        <w:rPr>
          <w:sz w:val="24"/>
        </w:rPr>
      </w:pPr>
      <w:r>
        <w:rPr>
          <w:sz w:val="24"/>
        </w:rPr>
        <w:t>подтопления территории – опасная категория;</w:t>
      </w:r>
    </w:p>
    <w:p>
      <w:pPr>
        <w:pStyle w:val="282"/>
        <w:numPr>
          <w:ilvl w:val="0"/>
          <w:numId w:val="43"/>
        </w:numPr>
        <w:rPr>
          <w:sz w:val="24"/>
        </w:rPr>
      </w:pPr>
      <w:r>
        <w:rPr>
          <w:sz w:val="24"/>
        </w:rPr>
        <w:t>плоскостная и овражная эрозия – умеренно опасная категория.</w:t>
      </w:r>
    </w:p>
    <w:p>
      <w:pPr>
        <w:pStyle w:val="282"/>
        <w:rPr>
          <w:sz w:val="24"/>
        </w:rPr>
      </w:pPr>
    </w:p>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Опасные геологические явления и процессы: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качестве опасных геологических явлений на территории области установлены (по ГОСТу 22.0.03-97.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pPr>
        <w:pStyle w:val="282"/>
        <w:numPr>
          <w:ilvl w:val="0"/>
          <w:numId w:val="43"/>
        </w:numPr>
        <w:rPr>
          <w:sz w:val="24"/>
        </w:rPr>
      </w:pPr>
      <w:r>
        <w:rPr>
          <w:sz w:val="24"/>
        </w:rPr>
        <w:t>просадочность;</w:t>
      </w:r>
    </w:p>
    <w:p>
      <w:pPr>
        <w:pStyle w:val="282"/>
        <w:numPr>
          <w:ilvl w:val="0"/>
          <w:numId w:val="43"/>
        </w:numPr>
        <w:rPr>
          <w:sz w:val="24"/>
        </w:rPr>
      </w:pPr>
      <w:r>
        <w:rPr>
          <w:sz w:val="24"/>
        </w:rPr>
        <w:t>землетрясения.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Процесс </w:t>
      </w:r>
      <w:r>
        <w:rPr>
          <w:rFonts w:eastAsia="Times New Roman"/>
          <w:b/>
          <w:kern w:val="0"/>
          <w:lang w:eastAsia="ru-RU"/>
        </w:rPr>
        <w:t>просадки грунтов</w:t>
      </w:r>
      <w:r>
        <w:rPr>
          <w:rFonts w:eastAsia="Times New Roman"/>
          <w:kern w:val="0"/>
          <w:lang w:eastAsia="ru-RU"/>
        </w:rPr>
        <w:t xml:space="preserve"> имеет весьма широкое распространение на территории. Грунты, обладающие просадочными свойствами, тесно связаны с эоловой аккумуляцией и проявляют свои свойства в результате замачивания. Особо опасным этот процесс можно считать в тех местах, где возможно резкое колебание уровня подземных вод и где возможны утечки из водонесущих коммуникаций.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Просадка грунтов приурочена к лессовым покровным отложениям склонов водоразделов и водораздельным пространствам, где мощность просадочной толщи от 2,0 до 4,8 м более, в зависимости от гипсометрического положения. Описание просадочных свойств грунтов приведено в п. 1.2.4 данного раздела.</w:t>
      </w:r>
    </w:p>
    <w:p>
      <w:pPr>
        <w:keepLines/>
        <w:widowControl w:val="0"/>
        <w:suppressAutoHyphens/>
        <w:adjustRightInd w:val="0"/>
        <w:spacing w:after="0" w:line="360" w:lineRule="auto"/>
        <w:ind w:firstLine="851"/>
        <w:jc w:val="both"/>
        <w:textAlignment w:val="baseline"/>
        <w:rPr>
          <w:rFonts w:eastAsia="Times New Roman"/>
          <w:kern w:val="0"/>
          <w:lang w:eastAsia="ru-RU"/>
        </w:rPr>
      </w:pPr>
      <w:bookmarkStart w:id="245" w:name="_Toc129529895"/>
      <w:r>
        <w:rPr>
          <w:rFonts w:eastAsia="Times New Roman"/>
          <w:kern w:val="0"/>
          <w:lang w:eastAsia="ru-RU"/>
        </w:rPr>
        <w:t>Тектонических нарушений, пересекающих территорию изысканий в соответствии со схематической картой новейшей тектоники не отмечено.</w:t>
      </w:r>
    </w:p>
    <w:p>
      <w:pPr>
        <w:keepLines/>
        <w:widowControl w:val="0"/>
        <w:suppressAutoHyphens/>
        <w:adjustRightInd w:val="0"/>
        <w:spacing w:after="0" w:line="360" w:lineRule="auto"/>
        <w:ind w:firstLine="851"/>
        <w:jc w:val="both"/>
        <w:textAlignment w:val="baseline"/>
        <w:rPr>
          <w:rFonts w:eastAsia="Times New Roman"/>
          <w:kern w:val="0"/>
          <w:lang w:eastAsia="ru-RU"/>
        </w:rPr>
      </w:pPr>
    </w:p>
    <w:bookmarkEnd w:id="245"/>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 xml:space="preserve">Опасные гидрологические явления и процессы: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 территории Ейскоукрепленского сельского поселения имеют место следующие опасные гидрологические явления (по ГОСТу 22.0.03-97.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pPr>
        <w:pStyle w:val="282"/>
        <w:numPr>
          <w:ilvl w:val="0"/>
          <w:numId w:val="43"/>
        </w:numPr>
        <w:rPr>
          <w:sz w:val="24"/>
        </w:rPr>
      </w:pPr>
      <w:r>
        <w:rPr>
          <w:sz w:val="24"/>
        </w:rPr>
        <w:t>подтопление;</w:t>
      </w:r>
    </w:p>
    <w:p>
      <w:pPr>
        <w:pStyle w:val="282"/>
        <w:numPr>
          <w:ilvl w:val="0"/>
          <w:numId w:val="43"/>
        </w:numPr>
        <w:rPr>
          <w:sz w:val="24"/>
        </w:rPr>
      </w:pPr>
      <w:r>
        <w:rPr>
          <w:sz w:val="24"/>
        </w:rPr>
        <w:t>затопление;</w:t>
      </w:r>
    </w:p>
    <w:p>
      <w:pPr>
        <w:pStyle w:val="282"/>
        <w:numPr>
          <w:ilvl w:val="0"/>
          <w:numId w:val="43"/>
        </w:numPr>
        <w:rPr>
          <w:sz w:val="24"/>
        </w:rPr>
      </w:pPr>
      <w:r>
        <w:rPr>
          <w:sz w:val="24"/>
        </w:rPr>
        <w:t>эрозионно-акумулятивные процессы временных водотоков (эрозия, оврагообразование).</w:t>
      </w:r>
    </w:p>
    <w:p>
      <w:pPr>
        <w:keepLines/>
        <w:widowControl w:val="0"/>
        <w:suppressAutoHyphens/>
        <w:adjustRightInd w:val="0"/>
        <w:spacing w:after="0" w:line="360" w:lineRule="auto"/>
        <w:ind w:firstLine="851"/>
        <w:jc w:val="both"/>
        <w:textAlignment w:val="baseline"/>
        <w:rPr>
          <w:rFonts w:eastAsia="Times New Roman"/>
          <w:kern w:val="0"/>
          <w:lang w:eastAsia="ru-RU"/>
        </w:rPr>
      </w:pPr>
      <w:bookmarkStart w:id="246" w:name="_Toc175573594"/>
      <w:bookmarkStart w:id="247" w:name="_Toc175480790"/>
      <w:bookmarkStart w:id="248" w:name="_Toc157496769"/>
      <w:bookmarkStart w:id="249" w:name="_Toc162496609"/>
      <w:bookmarkStart w:id="250" w:name="_Toc129529893"/>
      <w:r>
        <w:rPr>
          <w:rFonts w:eastAsia="Times New Roman"/>
          <w:kern w:val="0"/>
          <w:lang w:eastAsia="ru-RU"/>
        </w:rPr>
        <w:t>Подтопление территории осуществляется подземными водами, первым от поверхности водоносным горизонтом.</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Процесс подтопления в зависимости от его развития по территории может носить: объектный (локальный) – отдельные здания, сооружения и участки и площадной характеры.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 зависимости от источников питания выделяют три основных типа подтопления: градостроительный (городской), гидротехнический и ирригационный.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Причинами подтопления являются близкое залегание водоупорных грунтов, низкие фильтрационные свойства грунтов, реакция на глобальные тектонические изменения в земной коре. </w:t>
      </w:r>
    </w:p>
    <w:p>
      <w:pPr>
        <w:keepLines/>
        <w:widowControl w:val="0"/>
        <w:suppressAutoHyphens/>
        <w:adjustRightInd w:val="0"/>
        <w:spacing w:after="0" w:line="360" w:lineRule="auto"/>
        <w:ind w:firstLine="851"/>
        <w:jc w:val="both"/>
        <w:textAlignment w:val="baseline"/>
        <w:rPr>
          <w:sz w:val="28"/>
          <w:szCs w:val="28"/>
        </w:rPr>
      </w:pPr>
      <w:r>
        <w:rPr>
          <w:rFonts w:eastAsia="Times New Roman"/>
          <w:kern w:val="0"/>
          <w:lang w:eastAsia="ru-RU"/>
        </w:rPr>
        <w:t xml:space="preserve">К </w:t>
      </w:r>
      <w:r>
        <w:rPr>
          <w:rFonts w:eastAsia="Times New Roman"/>
          <w:b/>
          <w:kern w:val="0"/>
          <w:lang w:eastAsia="ru-RU"/>
        </w:rPr>
        <w:t>подтопленным</w:t>
      </w:r>
      <w:r>
        <w:rPr>
          <w:rFonts w:eastAsia="Times New Roman"/>
          <w:kern w:val="0"/>
          <w:lang w:eastAsia="ru-RU"/>
        </w:rPr>
        <w:t xml:space="preserve"> могут быть отнесены площади, где уровень распространения подземных вод от 0,0 до 2,0 м. В поселении к таким площадям отнесены территории морской равнины и низовья склонов.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К </w:t>
      </w:r>
      <w:r>
        <w:rPr>
          <w:rFonts w:eastAsia="Times New Roman"/>
          <w:b/>
          <w:kern w:val="0"/>
          <w:lang w:eastAsia="ru-RU"/>
        </w:rPr>
        <w:t>потенциально подтопляемым</w:t>
      </w:r>
      <w:r>
        <w:rPr>
          <w:rFonts w:eastAsia="Times New Roman"/>
          <w:kern w:val="0"/>
          <w:lang w:eastAsia="ru-RU"/>
        </w:rPr>
        <w:t xml:space="preserve"> территориям отнесены площади с уровнем распространения подземных вод на глубине от 2,0 до 5,0 м. На рассматриваемой территории потенциально подтопляемой является вся селитебная зона. На этой территории в обычные годы уровень подземных вод не может достигнуть поверхности земли и лишь в периоды катастрофических осадков и других явлений возможно на части этой территории уровень подземных вод достигнет поверхности. </w:t>
      </w:r>
    </w:p>
    <w:bookmarkEnd w:id="246"/>
    <w:bookmarkEnd w:id="247"/>
    <w:bookmarkEnd w:id="248"/>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Затопление</w:t>
      </w:r>
      <w:r>
        <w:rPr>
          <w:rFonts w:eastAsia="Times New Roman"/>
          <w:kern w:val="0"/>
          <w:lang w:eastAsia="ru-RU"/>
        </w:rPr>
        <w:t xml:space="preserve"> поверхностными водами распространено на территории морской равнины и вблизи озера Соленого, как правило, во время паводков.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По среднемноголетним наблюдениям паводок происходит весной, обычно в марте (реже в конце февраля), формируясь от таяния снегов, иногда при одновременном выпадении дождей. Нередки и летние паводки. Затопление паводковыми водами обычно носит кратковременный характер, т.е. 2-5 дней.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В прибрежной полосе в период обильных осадков поверхностные и подземные воды образуют один водоносный горизонт, который достигает поверхности земли. Воды застаиваются в пониженных частях рельефа в связи с малыми уклонами поверхности и слабыми фильтрационными свойствами глинистых грунтов, таким образом, и развивается </w:t>
      </w:r>
      <w:r>
        <w:rPr>
          <w:rFonts w:eastAsia="Times New Roman"/>
          <w:b/>
          <w:kern w:val="0"/>
          <w:lang w:eastAsia="ru-RU"/>
        </w:rPr>
        <w:t>заболачивание</w:t>
      </w:r>
      <w:r>
        <w:rPr>
          <w:rFonts w:eastAsia="Times New Roman"/>
          <w:kern w:val="0"/>
          <w:lang w:eastAsia="ru-RU"/>
        </w:rPr>
        <w:t>.</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Поверхностные воды</w:t>
      </w:r>
      <w:r>
        <w:rPr>
          <w:rFonts w:eastAsia="Times New Roman"/>
          <w:kern w:val="0"/>
          <w:lang w:eastAsia="ru-RU"/>
        </w:rPr>
        <w:t xml:space="preserve"> агрессивны к бетонным и железобетонным конструкциям.</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Эрозионно-аккумулятивные процессы временных водотоков (оврагообразование)</w:t>
      </w:r>
      <w:r>
        <w:rPr>
          <w:rFonts w:eastAsia="Times New Roman"/>
          <w:kern w:val="0"/>
          <w:lang w:eastAsia="ru-RU"/>
        </w:rPr>
        <w:t>. Выделяются два типа деятельности временных текучих вод. Первый – плоскостная эрозия и делювиальная аккумуляция – происходят, когда выпадающие атмосферные осадки, мигрирующие струйками, скатываясь по склону, захватывают, уносят и откладывают мелкие частицы. Второй – линейная эрозия – вода, концентрируясь в потоки, текущие в руслах, производит линейный размыв, углубляя дно и стенки своего русла.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 территории изысканий эрозионная сеть слабо развита, в основном, это начальные стадии развития. Все ложбины и балки не имеют постоянных водотоков.</w:t>
      </w:r>
    </w:p>
    <w:bookmarkEnd w:id="249"/>
    <w:bookmarkEnd w:id="250"/>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 xml:space="preserve">Опасные метеорологические явления: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 территории Ейскоукрепленского поселения основной опасностью метеорологического происхождения являются (по ГОСТу 22.0.03-97.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pPr>
        <w:pStyle w:val="282"/>
        <w:numPr>
          <w:ilvl w:val="0"/>
          <w:numId w:val="43"/>
        </w:numPr>
        <w:rPr>
          <w:sz w:val="24"/>
        </w:rPr>
      </w:pPr>
      <w:r>
        <w:rPr>
          <w:sz w:val="24"/>
        </w:rPr>
        <w:t>ураганные ветры, пылевые бури,</w:t>
      </w:r>
    </w:p>
    <w:p>
      <w:pPr>
        <w:pStyle w:val="282"/>
        <w:numPr>
          <w:ilvl w:val="0"/>
          <w:numId w:val="43"/>
        </w:numPr>
        <w:rPr>
          <w:sz w:val="24"/>
        </w:rPr>
      </w:pPr>
      <w:r>
        <w:rPr>
          <w:sz w:val="24"/>
        </w:rPr>
        <w:t>ливневые дожди с грозами и градом (снегопады).</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В результате </w:t>
      </w:r>
      <w:r>
        <w:rPr>
          <w:rFonts w:eastAsia="Times New Roman"/>
          <w:b/>
          <w:kern w:val="0"/>
          <w:lang w:eastAsia="ru-RU"/>
        </w:rPr>
        <w:t>ураганных ветров</w:t>
      </w:r>
      <w:r>
        <w:rPr>
          <w:rFonts w:eastAsia="Times New Roman"/>
          <w:kern w:val="0"/>
          <w:lang w:eastAsia="ru-RU"/>
        </w:rPr>
        <w:t xml:space="preserve"> происходит падение деревьев, разрушение жилых и административных зданий, обрыв линий связи и ЛЭП, могут пострадать люди.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В годовом ходе скоростей ветра выделяется два периода. С октября по апрель наблюдаются повышенные среднемесячные, а с мая по сентябрь – пониженные скорости ветра. Так, осенью среднемесячные скорости достигают 5,9 м/с, зимой – 6,8 м/с. Весной и летом они составляют 6,1 м/с и 5,3 м/с соответственно. Максимальных значений среднемесячные скорости достигают в ноябре-феврале, а минимальных – в июне-августе.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Наиболее частыми в районе являются ветры со скоростями 1-5 м/с (46-48%). Более сильные ветры (6-10 м/с) характеризуются несколько меньшей повторяемостью – около 35%. Тем не менее, ветры с этой скоростью играют исключительно важную роль в гидродинамике района, поскольку с ними связано формирование устойчивых течений, распространяющихся на мелководье практически на всю глубину. Штили в районе довольно редки и составляют в году не более 3-5%.</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Ветры штормовой силы (скоростью более 11 м/с) образуют значительную долю в годовом балансе. Максимальные скорости ветра – более 20 м/с – характерны для северо-восточного и юго-западного направлений, и их повторяемость составляет около 1,5-2,5%. Предельно возможной для Азовского моря, считается скорость ветра 25 м/с.</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Штормовые ветры в 70% случаев охватывают всю акваторию моря и имеют продолжительность более 6 часов.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Средняя продолжительность штормов изменяется по сезонам – от 12 часов летом (в августе) до 27-28 часов весной (в марте) и зимой (в декабре). Наибольшая непрерывная продолжительность шторма так же изменчива – от 40 часов в июле до 202 часов в ноябре. Преобладают в течение года штормы продолжительностью до суток. Наиболее продолжительные штормы вызывают ветра восточного и северо-западного направлений.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Эоловые процессы, дефляция на планируемой территории наиболее активно протекают в периоды черных пыльных бурь, особенно ранней весной, когда еще нет растительности, а вследствие сухой и малоснежной зимы в почве мало влаги. Сильные восточные и северо-восточные ветры быстро иссушают верхние слои почвы, выдувая ее вместе с посевами и унося на значительное расстояние.</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Пыльные бури</w:t>
      </w:r>
      <w:r>
        <w:rPr>
          <w:rFonts w:eastAsia="Times New Roman"/>
          <w:kern w:val="0"/>
          <w:lang w:eastAsia="ru-RU"/>
        </w:rPr>
        <w:t xml:space="preserve"> в степной части края бывают раз в 2-3 года, повторяемость их на остальной части раз в 5-6 лет. Число дней с пыльными бурями колеблется от 3-5 до 10-12 дней.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 xml:space="preserve">Осадки. </w:t>
      </w:r>
      <w:r>
        <w:rPr>
          <w:rFonts w:eastAsia="Times New Roman"/>
          <w:kern w:val="0"/>
          <w:lang w:eastAsia="ru-RU"/>
        </w:rPr>
        <w:t xml:space="preserve">Средняя годовая сумма осадков по данным многолетних наблюдений для бассейна Азовского моря изменяется в интервале 335 – 418 мм.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Средняя межгодовая изменчивость годовых сумм осадков в районе достигает 22%, тогда как эта характеристика для сезонных сумм осадков составляет 40-50%.</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b/>
          <w:kern w:val="0"/>
          <w:lang w:eastAsia="ru-RU"/>
        </w:rPr>
        <w:t>Ливни</w:t>
      </w:r>
      <w:r>
        <w:rPr>
          <w:rFonts w:eastAsia="Times New Roman"/>
          <w:kern w:val="0"/>
          <w:lang w:eastAsia="ru-RU"/>
        </w:rPr>
        <w:t>, т.е. дожди с аномально высокой интенсивностью (0,5 мм/мин в течение 5 мин, 0,2 мм/мин в течение 1 часа и т.д.), наблюдаются в районе в период с мая по сентябрь, и наиболее вероятны в июле. Но даже в этот период они наблюдаются не ежегодно: 4-5 раз за 10 лет.</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Абсолютный минимум температуры составляет – 32</w:t>
      </w:r>
      <w:r>
        <w:rPr>
          <w:rFonts w:eastAsia="Times New Roman"/>
          <w:kern w:val="0"/>
          <w:vertAlign w:val="superscript"/>
          <w:lang w:eastAsia="ru-RU"/>
        </w:rPr>
        <w:t>0</w:t>
      </w:r>
      <w:r>
        <w:rPr>
          <w:rFonts w:eastAsia="Times New Roman"/>
          <w:kern w:val="0"/>
          <w:lang w:eastAsia="ru-RU"/>
        </w:rPr>
        <w:t xml:space="preserve">С, и приходится на январь.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Абсолютные максимальные температуры достигают +39</w:t>
      </w:r>
      <w:r>
        <w:rPr>
          <w:rFonts w:eastAsia="Times New Roman"/>
          <w:kern w:val="0"/>
          <w:vertAlign w:val="superscript"/>
          <w:lang w:eastAsia="ru-RU"/>
        </w:rPr>
        <w:t>0</w:t>
      </w:r>
      <w:r>
        <w:rPr>
          <w:rFonts w:eastAsia="Times New Roman"/>
          <w:kern w:val="0"/>
          <w:lang w:eastAsia="ru-RU"/>
        </w:rPr>
        <w:t>С.</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Абсолютные максимумы температуры воздуха с положительным знаком отмечаются и в зимние месяцы, составляя 14-19</w:t>
      </w:r>
      <w:r>
        <w:rPr>
          <w:rFonts w:eastAsia="Times New Roman"/>
          <w:kern w:val="0"/>
          <w:vertAlign w:val="superscript"/>
          <w:lang w:eastAsia="ru-RU"/>
        </w:rPr>
        <w:t>0</w:t>
      </w:r>
      <w:r>
        <w:rPr>
          <w:rFonts w:eastAsia="Times New Roman"/>
          <w:kern w:val="0"/>
          <w:lang w:eastAsia="ru-RU"/>
        </w:rPr>
        <w:t>С.</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keepLines/>
        <w:widowControl w:val="0"/>
        <w:suppressAutoHyphens/>
        <w:adjustRightInd w:val="0"/>
        <w:spacing w:after="0" w:line="360" w:lineRule="auto"/>
        <w:ind w:firstLine="851"/>
        <w:jc w:val="center"/>
        <w:textAlignment w:val="baseline"/>
        <w:rPr>
          <w:rFonts w:eastAsia="Times New Roman"/>
          <w:b/>
          <w:kern w:val="0"/>
          <w:lang w:eastAsia="ru-RU"/>
        </w:rPr>
      </w:pPr>
      <w:r>
        <w:rPr>
          <w:rFonts w:eastAsia="Times New Roman"/>
          <w:b/>
          <w:kern w:val="0"/>
          <w:lang w:eastAsia="ru-RU"/>
        </w:rPr>
        <w:t>Перечень основных факторов риска возникновения чрезвычайных ситуаций техногенного характера.</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К техногенным источникам возникновения чрезвычайных ситуаций на рассматриваемой территории в соответствии с ГОСТ 22.0.03-97 относятся потенциально опасные объекты экономики, на которых возможны.</w:t>
      </w:r>
    </w:p>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Промышленные аварии и катастрофы:</w:t>
      </w:r>
    </w:p>
    <w:p>
      <w:pPr>
        <w:pStyle w:val="282"/>
        <w:numPr>
          <w:ilvl w:val="0"/>
          <w:numId w:val="43"/>
        </w:numPr>
        <w:rPr>
          <w:sz w:val="24"/>
        </w:rPr>
      </w:pPr>
      <w:r>
        <w:rPr>
          <w:sz w:val="24"/>
        </w:rPr>
        <w:t>пожароопасные и взрывоопасные объекты экономики.</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 территории осуществляют производственную деятельность объекты, осуществляющие хранение или транспортировку взрыво-, пожароопасных веществ – нефтепродуктов. Виды возможных чрезвычайных ситуаций – разлив, пожар, взрыв нефтепродуктов.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Если в процессе аварии происходит утечка пожароопасной жидкости, то последняя, при наличии источника зажигания и при наличии над ее поверхностью паров с достаточной для воспламенения концентрацией, может загореться с возникновением т.н. пожара разлития, при котором происходит горение бассейна (лужи) разлитой жидкости. Если при выбросе опасного вещества в непосредственной близости нет источника зажигания, то газовая фаза, поступая в атмосферу, будет образовывать с воздухом перемешанную топливовоздушную смесь, которая, распространяясь в атмосфере (рассеиваясь, дрейфуя в поле ветра, растекаясь под действием силы тяжести), может достичь источника зажигания, расположенного иногда на значительном удалении от места выброса, и лишь затем воспламениться, и сгореть. Кроме горения облака последствием его воспламенения может быть взрыв. Вероятность возникновения взрыва особенно велик, если облако находится в замкнутом или сильно загроможденном пространстве.</w:t>
      </w:r>
    </w:p>
    <w:p>
      <w:pPr>
        <w:keepLines/>
        <w:widowControl w:val="0"/>
        <w:suppressAutoHyphens/>
        <w:adjustRightInd w:val="0"/>
        <w:spacing w:after="0" w:line="360" w:lineRule="auto"/>
        <w:ind w:firstLine="851"/>
        <w:jc w:val="both"/>
        <w:textAlignment w:val="baseline"/>
        <w:rPr>
          <w:rFonts w:eastAsia="Times New Roman"/>
          <w:kern w:val="0"/>
          <w:lang w:eastAsia="ru-RU"/>
        </w:rPr>
      </w:pPr>
    </w:p>
    <w:p>
      <w:pPr>
        <w:spacing w:line="240" w:lineRule="auto"/>
        <w:jc w:val="center"/>
        <w:rPr>
          <w:b/>
          <w:bCs/>
        </w:rPr>
      </w:pPr>
      <w:r>
        <w:rPr>
          <w:b/>
          <w:bCs/>
        </w:rPr>
        <w:t>Пожароопасные и взрывоопасные объекты экономики на территории Ейскоукрепленского сельского поселения</w:t>
      </w:r>
    </w:p>
    <w:p>
      <w:pPr>
        <w:pStyle w:val="147"/>
        <w:numPr>
          <w:ilvl w:val="0"/>
          <w:numId w:val="23"/>
        </w:numPr>
        <w:ind w:right="142"/>
        <w:jc w:val="right"/>
        <w:rPr>
          <w:b/>
          <w:bCs/>
        </w:rPr>
      </w:pPr>
      <w:r>
        <w:rPr>
          <w:b/>
          <w:bCs/>
        </w:rPr>
        <w:t>Таблица 30</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878"/>
        <w:gridCol w:w="1003"/>
        <w:gridCol w:w="1503"/>
        <w:gridCol w:w="1278"/>
        <w:gridCol w:w="914"/>
        <w:gridCol w:w="781"/>
        <w:gridCol w:w="1278"/>
        <w:gridCol w:w="914"/>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16" w:type="pct"/>
            <w:vMerge w:val="restart"/>
            <w:vAlign w:val="center"/>
          </w:tcPr>
          <w:p>
            <w:pPr>
              <w:jc w:val="center"/>
              <w:rPr>
                <w:b/>
                <w:bCs/>
              </w:rPr>
            </w:pPr>
            <w:r>
              <w:rPr>
                <w:b/>
                <w:bCs/>
              </w:rPr>
              <w:t>№п/п</w:t>
            </w:r>
          </w:p>
        </w:tc>
        <w:tc>
          <w:tcPr>
            <w:tcW w:w="893" w:type="pct"/>
            <w:vMerge w:val="restart"/>
            <w:vAlign w:val="center"/>
          </w:tcPr>
          <w:p>
            <w:pPr>
              <w:jc w:val="center"/>
              <w:rPr>
                <w:b/>
                <w:bCs/>
              </w:rPr>
            </w:pPr>
            <w:r>
              <w:rPr>
                <w:b/>
                <w:bCs/>
              </w:rPr>
              <w:t>Наименование объекта</w:t>
            </w:r>
          </w:p>
        </w:tc>
        <w:tc>
          <w:tcPr>
            <w:tcW w:w="827" w:type="pct"/>
            <w:vMerge w:val="restart"/>
            <w:vAlign w:val="center"/>
          </w:tcPr>
          <w:p>
            <w:pPr>
              <w:jc w:val="center"/>
              <w:rPr>
                <w:b/>
                <w:bCs/>
              </w:rPr>
            </w:pPr>
            <w:r>
              <w:rPr>
                <w:b/>
                <w:bCs/>
              </w:rPr>
              <w:t>Наименование опасного вещества</w:t>
            </w:r>
          </w:p>
        </w:tc>
        <w:tc>
          <w:tcPr>
            <w:tcW w:w="860" w:type="pct"/>
            <w:vMerge w:val="restart"/>
            <w:vAlign w:val="center"/>
          </w:tcPr>
          <w:p>
            <w:pPr>
              <w:jc w:val="center"/>
              <w:rPr>
                <w:b/>
              </w:rPr>
            </w:pPr>
            <w:r>
              <w:rPr>
                <w:b/>
              </w:rPr>
              <w:t>Количество опасного вещества (максимальная емкость)</w:t>
            </w:r>
          </w:p>
        </w:tc>
        <w:tc>
          <w:tcPr>
            <w:tcW w:w="1052" w:type="pct"/>
            <w:gridSpan w:val="3"/>
          </w:tcPr>
          <w:p>
            <w:pPr>
              <w:jc w:val="center"/>
              <w:rPr>
                <w:b/>
                <w:bCs/>
              </w:rPr>
            </w:pPr>
            <w:r>
              <w:rPr>
                <w:b/>
              </w:rPr>
              <w:t>Радиус зоны поражения, м</w:t>
            </w:r>
          </w:p>
        </w:tc>
        <w:tc>
          <w:tcPr>
            <w:tcW w:w="1052" w:type="pct"/>
            <w:gridSpan w:val="3"/>
          </w:tcPr>
          <w:p>
            <w:pPr>
              <w:jc w:val="center"/>
              <w:rPr>
                <w:b/>
              </w:rPr>
            </w:pPr>
            <w:r>
              <w:rPr>
                <w:b/>
              </w:rPr>
              <w:t>Площадь зоны поражения, км</w:t>
            </w:r>
            <w:r>
              <w:rPr>
                <w:b/>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16" w:type="pct"/>
            <w:vMerge w:val="continue"/>
            <w:vAlign w:val="center"/>
          </w:tcPr>
          <w:p>
            <w:pPr>
              <w:jc w:val="center"/>
              <w:rPr>
                <w:b/>
                <w:bCs/>
              </w:rPr>
            </w:pPr>
          </w:p>
        </w:tc>
        <w:tc>
          <w:tcPr>
            <w:tcW w:w="893" w:type="pct"/>
            <w:vMerge w:val="continue"/>
            <w:vAlign w:val="center"/>
          </w:tcPr>
          <w:p>
            <w:pPr>
              <w:jc w:val="center"/>
              <w:rPr>
                <w:b/>
                <w:bCs/>
              </w:rPr>
            </w:pPr>
          </w:p>
        </w:tc>
        <w:tc>
          <w:tcPr>
            <w:tcW w:w="827" w:type="pct"/>
            <w:vMerge w:val="continue"/>
            <w:vAlign w:val="center"/>
          </w:tcPr>
          <w:p>
            <w:pPr>
              <w:jc w:val="center"/>
              <w:rPr>
                <w:b/>
                <w:bCs/>
              </w:rPr>
            </w:pPr>
          </w:p>
        </w:tc>
        <w:tc>
          <w:tcPr>
            <w:tcW w:w="860" w:type="pct"/>
            <w:vMerge w:val="continue"/>
            <w:vAlign w:val="center"/>
          </w:tcPr>
          <w:p>
            <w:pPr>
              <w:jc w:val="center"/>
              <w:rPr>
                <w:b/>
              </w:rPr>
            </w:pPr>
          </w:p>
        </w:tc>
        <w:tc>
          <w:tcPr>
            <w:tcW w:w="1052" w:type="pct"/>
            <w:gridSpan w:val="3"/>
            <w:vAlign w:val="center"/>
          </w:tcPr>
          <w:p>
            <w:pPr>
              <w:jc w:val="center"/>
              <w:rPr>
                <w:b/>
              </w:rPr>
            </w:pPr>
            <w:r>
              <w:rPr>
                <w:b/>
              </w:rPr>
              <w:t>степень тяжести</w:t>
            </w:r>
          </w:p>
        </w:tc>
        <w:tc>
          <w:tcPr>
            <w:tcW w:w="1052" w:type="pct"/>
            <w:gridSpan w:val="3"/>
            <w:vAlign w:val="center"/>
          </w:tcPr>
          <w:p>
            <w:pPr>
              <w:jc w:val="center"/>
              <w:rPr>
                <w:b/>
              </w:rPr>
            </w:pPr>
            <w:r>
              <w:rPr>
                <w:b/>
              </w:rPr>
              <w:t>степень тяжести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316" w:type="pct"/>
            <w:vMerge w:val="continue"/>
            <w:vAlign w:val="center"/>
          </w:tcPr>
          <w:p>
            <w:pPr>
              <w:jc w:val="center"/>
              <w:rPr>
                <w:b/>
              </w:rPr>
            </w:pPr>
          </w:p>
        </w:tc>
        <w:tc>
          <w:tcPr>
            <w:tcW w:w="893" w:type="pct"/>
            <w:vMerge w:val="continue"/>
          </w:tcPr>
          <w:p>
            <w:pPr>
              <w:snapToGrid w:val="0"/>
              <w:rPr>
                <w:b/>
              </w:rPr>
            </w:pPr>
          </w:p>
        </w:tc>
        <w:tc>
          <w:tcPr>
            <w:tcW w:w="827" w:type="pct"/>
            <w:vMerge w:val="continue"/>
            <w:vAlign w:val="center"/>
          </w:tcPr>
          <w:p>
            <w:pPr>
              <w:jc w:val="center"/>
              <w:rPr>
                <w:b/>
              </w:rPr>
            </w:pPr>
          </w:p>
        </w:tc>
        <w:tc>
          <w:tcPr>
            <w:tcW w:w="860" w:type="pct"/>
            <w:vMerge w:val="continue"/>
          </w:tcPr>
          <w:p>
            <w:pPr>
              <w:jc w:val="center"/>
              <w:rPr>
                <w:b/>
              </w:rPr>
            </w:pPr>
          </w:p>
        </w:tc>
        <w:tc>
          <w:tcPr>
            <w:tcW w:w="351" w:type="pct"/>
            <w:vAlign w:val="center"/>
          </w:tcPr>
          <w:p>
            <w:pPr>
              <w:jc w:val="center"/>
              <w:rPr>
                <w:b/>
              </w:rPr>
            </w:pPr>
            <w:r>
              <w:rPr>
                <w:b/>
              </w:rPr>
              <w:t>смертельная</w:t>
            </w:r>
          </w:p>
        </w:tc>
        <w:tc>
          <w:tcPr>
            <w:tcW w:w="351" w:type="pct"/>
            <w:vAlign w:val="center"/>
          </w:tcPr>
          <w:p>
            <w:pPr>
              <w:jc w:val="center"/>
              <w:rPr>
                <w:b/>
              </w:rPr>
            </w:pPr>
            <w:r>
              <w:rPr>
                <w:b/>
              </w:rPr>
              <w:t>средне-тяжелая</w:t>
            </w:r>
          </w:p>
        </w:tc>
        <w:tc>
          <w:tcPr>
            <w:tcW w:w="351" w:type="pct"/>
            <w:vAlign w:val="center"/>
          </w:tcPr>
          <w:p>
            <w:pPr>
              <w:jc w:val="center"/>
              <w:rPr>
                <w:b/>
              </w:rPr>
            </w:pPr>
            <w:r>
              <w:rPr>
                <w:b/>
              </w:rPr>
              <w:t>легкая</w:t>
            </w:r>
          </w:p>
        </w:tc>
        <w:tc>
          <w:tcPr>
            <w:tcW w:w="351" w:type="pct"/>
            <w:vAlign w:val="center"/>
          </w:tcPr>
          <w:p>
            <w:pPr>
              <w:jc w:val="center"/>
              <w:rPr>
                <w:b/>
              </w:rPr>
            </w:pPr>
            <w:r>
              <w:rPr>
                <w:b/>
              </w:rPr>
              <w:t>смертельная</w:t>
            </w:r>
          </w:p>
        </w:tc>
        <w:tc>
          <w:tcPr>
            <w:tcW w:w="351" w:type="pct"/>
            <w:vAlign w:val="center"/>
          </w:tcPr>
          <w:p>
            <w:pPr>
              <w:jc w:val="center"/>
              <w:rPr>
                <w:b/>
              </w:rPr>
            </w:pPr>
            <w:r>
              <w:rPr>
                <w:b/>
              </w:rPr>
              <w:t>средне-тяжелая</w:t>
            </w:r>
          </w:p>
        </w:tc>
        <w:tc>
          <w:tcPr>
            <w:tcW w:w="351" w:type="pct"/>
            <w:vAlign w:val="center"/>
          </w:tcPr>
          <w:p>
            <w:pPr>
              <w:jc w:val="center"/>
              <w:rPr>
                <w:b/>
              </w:rPr>
            </w:pPr>
            <w:r>
              <w:rPr>
                <w:b/>
              </w:rPr>
              <w:t>легкая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16" w:type="pct"/>
            <w:vAlign w:val="center"/>
          </w:tcPr>
          <w:p>
            <w:pPr>
              <w:jc w:val="center"/>
            </w:pPr>
            <w:r>
              <w:t>1</w:t>
            </w:r>
          </w:p>
        </w:tc>
        <w:tc>
          <w:tcPr>
            <w:tcW w:w="893" w:type="pct"/>
          </w:tcPr>
          <w:p>
            <w:pPr>
              <w:snapToGrid w:val="0"/>
            </w:pPr>
            <w:r>
              <w:t>Автозаправочная станция (сущ.)</w:t>
            </w:r>
          </w:p>
        </w:tc>
        <w:tc>
          <w:tcPr>
            <w:tcW w:w="827" w:type="pct"/>
            <w:vAlign w:val="center"/>
          </w:tcPr>
          <w:p>
            <w:pPr>
              <w:jc w:val="center"/>
            </w:pPr>
            <w:r>
              <w:t>Бензин, дизельное топливо</w:t>
            </w:r>
          </w:p>
        </w:tc>
        <w:tc>
          <w:tcPr>
            <w:tcW w:w="860" w:type="pct"/>
            <w:vAlign w:val="center"/>
          </w:tcPr>
          <w:p>
            <w:pPr>
              <w:jc w:val="center"/>
            </w:pPr>
            <w:r>
              <w:rPr>
                <w:bCs/>
              </w:rPr>
              <w:t>100 м</w:t>
            </w:r>
            <w:r>
              <w:rPr>
                <w:bCs/>
                <w:vertAlign w:val="superscript"/>
              </w:rPr>
              <w:t>3</w:t>
            </w:r>
          </w:p>
        </w:tc>
        <w:tc>
          <w:tcPr>
            <w:tcW w:w="351" w:type="pct"/>
            <w:vAlign w:val="center"/>
          </w:tcPr>
          <w:p>
            <w:pPr>
              <w:jc w:val="center"/>
            </w:pPr>
            <w:r>
              <w:t>135,1</w:t>
            </w:r>
          </w:p>
        </w:tc>
        <w:tc>
          <w:tcPr>
            <w:tcW w:w="351" w:type="pct"/>
            <w:vAlign w:val="center"/>
          </w:tcPr>
          <w:p>
            <w:pPr>
              <w:jc w:val="center"/>
            </w:pPr>
            <w:r>
              <w:t>265,5</w:t>
            </w:r>
          </w:p>
        </w:tc>
        <w:tc>
          <w:tcPr>
            <w:tcW w:w="351" w:type="pct"/>
            <w:vAlign w:val="center"/>
          </w:tcPr>
          <w:p>
            <w:pPr>
              <w:jc w:val="center"/>
            </w:pPr>
            <w:r>
              <w:t>389,8</w:t>
            </w:r>
          </w:p>
        </w:tc>
        <w:tc>
          <w:tcPr>
            <w:tcW w:w="351" w:type="pct"/>
            <w:vAlign w:val="center"/>
          </w:tcPr>
          <w:p>
            <w:pPr>
              <w:jc w:val="center"/>
            </w:pPr>
            <w:r>
              <w:t>0,057</w:t>
            </w:r>
          </w:p>
        </w:tc>
        <w:tc>
          <w:tcPr>
            <w:tcW w:w="351" w:type="pct"/>
            <w:vAlign w:val="center"/>
          </w:tcPr>
          <w:p>
            <w:pPr>
              <w:jc w:val="center"/>
            </w:pPr>
            <w:r>
              <w:t>0,164</w:t>
            </w:r>
          </w:p>
        </w:tc>
        <w:tc>
          <w:tcPr>
            <w:tcW w:w="351" w:type="pct"/>
            <w:vAlign w:val="center"/>
          </w:tcPr>
          <w:p>
            <w:pPr>
              <w:jc w:val="center"/>
            </w:pPr>
            <w:r>
              <w:t>0,256</w:t>
            </w:r>
          </w:p>
        </w:tc>
      </w:tr>
    </w:tbl>
    <w:p>
      <w:pPr>
        <w:keepLines/>
        <w:widowControl w:val="0"/>
        <w:suppressAutoHyphens/>
        <w:adjustRightInd w:val="0"/>
        <w:spacing w:after="0" w:line="360" w:lineRule="auto"/>
        <w:ind w:firstLine="851"/>
        <w:jc w:val="both"/>
        <w:textAlignment w:val="baseline"/>
        <w:rPr>
          <w:rFonts w:eastAsia="Times New Roman"/>
          <w:b/>
          <w:kern w:val="0"/>
          <w:lang w:eastAsia="ru-RU"/>
        </w:rPr>
      </w:pPr>
    </w:p>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 xml:space="preserve">Опасные происшествия на транспорте: </w:t>
      </w:r>
    </w:p>
    <w:p>
      <w:pPr>
        <w:pStyle w:val="282"/>
        <w:numPr>
          <w:ilvl w:val="0"/>
          <w:numId w:val="43"/>
        </w:numPr>
        <w:rPr>
          <w:sz w:val="24"/>
        </w:rPr>
      </w:pPr>
      <w:r>
        <w:rPr>
          <w:sz w:val="24"/>
        </w:rPr>
        <w:t>автотранспорт.</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Село Ейское Укрепление связано с другими населенными пунктами поселения, района и края автодорогой краевого значения ст.Старощербиновская – с.Шабельское, и с.Ейское Укрепление – х.Любимов.</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Наиболее опасными для поселения являются аварии на автотранспорте, перевозящем ЛВЖ (бензин).</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Наиболее вероятными авариями на автотранспорте в Ейскоукрепленском сельском поселении являются дорожно-транспортные происшествия, сопровождающиеся разрушением цистерны и разливом бензина с образованием облака, последующим образованием ударной волны и возможным разрушением рядом расположенных конструкций.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Высокая интенсивность движения, недостаточность автомобильных развязок, неудовлетворительное состояние отдельных участков дорог, отсутствие знаков дорожного движения на наиболее опасных участках, наличие нерегулируемых железнодорожных переездов могут привести к чрезвычайным ситуациям на автодорогах.</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При возможной наиболее опасной аварии на автоцистерне, перевозящей бензин по автодороге, и, как следствие, – взрыве облака топливно-воздушной смеси при разгерметизации цистерны, в зону поражения малых повреждений здания не попадают. Люди (случайные прохожие, водитель), не удаленные с места аварии могут попасть в зону повреждения человека волной давления и получить тяжелые травмы. </w:t>
      </w:r>
    </w:p>
    <w:p>
      <w:pPr>
        <w:keepLines/>
        <w:widowControl w:val="0"/>
        <w:suppressAutoHyphens/>
        <w:adjustRightInd w:val="0"/>
        <w:spacing w:after="0" w:line="360" w:lineRule="auto"/>
        <w:ind w:firstLine="851"/>
        <w:jc w:val="both"/>
        <w:textAlignment w:val="baseline"/>
        <w:rPr>
          <w:rFonts w:eastAsia="Times New Roman"/>
          <w:b/>
          <w:kern w:val="0"/>
          <w:lang w:eastAsia="ru-RU"/>
        </w:rPr>
      </w:pPr>
      <w:r>
        <w:rPr>
          <w:rFonts w:eastAsia="Times New Roman"/>
          <w:b/>
          <w:kern w:val="0"/>
          <w:lang w:eastAsia="ru-RU"/>
        </w:rPr>
        <w:t xml:space="preserve">Опасные происшествия на объектах ЖКХ: </w:t>
      </w:r>
    </w:p>
    <w:p>
      <w:pPr>
        <w:pStyle w:val="282"/>
        <w:numPr>
          <w:ilvl w:val="0"/>
          <w:numId w:val="43"/>
        </w:numPr>
        <w:rPr>
          <w:sz w:val="24"/>
        </w:rPr>
      </w:pPr>
      <w:r>
        <w:rPr>
          <w:sz w:val="24"/>
        </w:rPr>
        <w:t>пожары в зданиях (жилых и общественных),</w:t>
      </w:r>
    </w:p>
    <w:p>
      <w:pPr>
        <w:pStyle w:val="282"/>
        <w:numPr>
          <w:ilvl w:val="0"/>
          <w:numId w:val="43"/>
        </w:numPr>
        <w:rPr>
          <w:sz w:val="24"/>
        </w:rPr>
      </w:pPr>
      <w:r>
        <w:rPr>
          <w:sz w:val="24"/>
        </w:rPr>
        <w:t>аварии, пожары, взрывы на сетях газо- (ГРС, ГРП, котельная), тепло-, водо-, электроснабжения.</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Причины возникновения пожаров разнообразны. Из статистического анализа причин пожаров в жилых зданиях следует, что значительное число пожаров вызвано человеческим фактором (неосторожное обращение с огнем и курение, нарушение правил эксплуатации электрических и газовых приборов и т.д.). Но ведущая роль принадлежит энергопотребляющим изделиям – холодильникам, кондиционерам, радиоприемникам, телевизорам, электроплиткам, электроутюгам, светильникам. Значительное количество пожаров происходит из-за неправильной эксплуатации газовых плит.</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Часть загораний ликвидируется с помощью первичных средств пожаротушения на небольшой площади. Пожары, которые не потушены первичными средствами из-за их или недостаточной эффективности, или позднего обнаружения, развиваются и тушатся при своевременном прибытии подразделений пожарной охраны. Часть пожаров, прибытие на которые подразделений пожарной охраны по каким-то причинам не оказалось своевременным, развиваются на большие площади и происходят с возможным обрушением строительных конструкций.</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 xml:space="preserve">Взрывы газа внутри помещений ГРС могут привести к негативному воздействию только на находящийся там в этот момент технический персонал. Аварийные разрывы газопроводов характеризуются радиусом термического поражения людей 18 м. Радиус зоны термического поражения при аварии на ГРП людей с летальным исходом не превышает 5 метров. При возникновении максимальной по последствиям аварии в здании котельной, зона поражения ударной волной будет локализована непосредственно в самом здании (большая часть энергии ударной волны при взрыве будет затрачена на повреждение внутренних перегородок, рам, дверей и т.п.). </w:t>
      </w:r>
    </w:p>
    <w:p>
      <w:pPr>
        <w:keepLines/>
        <w:widowControl w:val="0"/>
        <w:suppressAutoHyphens/>
        <w:adjustRightInd w:val="0"/>
        <w:spacing w:after="0" w:line="360" w:lineRule="auto"/>
        <w:ind w:firstLine="851"/>
        <w:jc w:val="both"/>
        <w:textAlignment w:val="baseline"/>
        <w:rPr>
          <w:rFonts w:eastAsia="Times New Roman"/>
          <w:kern w:val="0"/>
          <w:lang w:eastAsia="ru-RU"/>
        </w:rPr>
      </w:pPr>
      <w:r>
        <w:rPr>
          <w:rFonts w:eastAsia="Times New Roman"/>
          <w:kern w:val="0"/>
          <w:lang w:eastAsia="ru-RU"/>
        </w:rPr>
        <w:t>Виды возможных чрезвычайных ситуаций - утечка газа, взрывы и пожары. Причины возникновения чрезвычайной ситуации: подземная коррозия металлов, брак строительно-монтажных работ, дефекты труб и оборудования, механическое повреждение.</w:t>
      </w:r>
    </w:p>
    <w:p>
      <w:pPr>
        <w:keepLines/>
        <w:pageBreakBefore/>
        <w:suppressAutoHyphens/>
        <w:spacing w:line="360" w:lineRule="auto"/>
        <w:ind w:right="-1" w:firstLine="851"/>
        <w:jc w:val="center"/>
        <w:outlineLvl w:val="0"/>
        <w:rPr>
          <w:b/>
          <w:sz w:val="32"/>
          <w:szCs w:val="32"/>
        </w:rPr>
      </w:pPr>
      <w:bookmarkStart w:id="251" w:name="_Toc57203237"/>
      <w:r>
        <w:rPr>
          <w:b/>
          <w:sz w:val="32"/>
          <w:szCs w:val="32"/>
        </w:rPr>
        <w:t>Основные технико-экономические показатели</w:t>
      </w:r>
      <w:bookmarkEnd w:id="251"/>
      <w:r>
        <w:rPr>
          <w:b/>
          <w:sz w:val="32"/>
          <w:szCs w:val="32"/>
        </w:rPr>
        <w:t xml:space="preserve"> </w:t>
      </w:r>
    </w:p>
    <w:tbl>
      <w:tblPr>
        <w:tblStyle w:val="361"/>
        <w:tblW w:w="10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3772"/>
        <w:gridCol w:w="1417"/>
        <w:gridCol w:w="1356"/>
        <w:gridCol w:w="1357"/>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87" w:type="dxa"/>
          </w:tcPr>
          <w:p>
            <w:pPr>
              <w:ind w:right="-1"/>
              <w:jc w:val="center"/>
              <w:rPr>
                <w:b/>
                <w:bCs/>
                <w:iCs/>
              </w:rPr>
            </w:pPr>
            <w:r>
              <w:rPr>
                <w:b/>
                <w:bCs/>
                <w:iCs/>
              </w:rPr>
              <w:t>№ п/п</w:t>
            </w:r>
          </w:p>
        </w:tc>
        <w:tc>
          <w:tcPr>
            <w:tcW w:w="3772" w:type="dxa"/>
            <w:noWrap/>
          </w:tcPr>
          <w:p>
            <w:pPr>
              <w:ind w:right="-1"/>
              <w:jc w:val="center"/>
              <w:rPr>
                <w:b/>
                <w:bCs/>
                <w:iCs/>
              </w:rPr>
            </w:pPr>
            <w:r>
              <w:rPr>
                <w:b/>
                <w:bCs/>
                <w:iCs/>
              </w:rPr>
              <w:t>Наименование   показателей</w:t>
            </w:r>
          </w:p>
        </w:tc>
        <w:tc>
          <w:tcPr>
            <w:tcW w:w="1417" w:type="dxa"/>
          </w:tcPr>
          <w:p>
            <w:pPr>
              <w:ind w:right="-1" w:firstLine="33"/>
              <w:jc w:val="center"/>
              <w:rPr>
                <w:b/>
                <w:bCs/>
                <w:iCs/>
              </w:rPr>
            </w:pPr>
            <w:r>
              <w:rPr>
                <w:b/>
                <w:bCs/>
                <w:iCs/>
              </w:rPr>
              <w:t>Единица измерения</w:t>
            </w:r>
          </w:p>
        </w:tc>
        <w:tc>
          <w:tcPr>
            <w:tcW w:w="1356" w:type="dxa"/>
          </w:tcPr>
          <w:p>
            <w:pPr>
              <w:ind w:right="-1"/>
              <w:jc w:val="center"/>
              <w:rPr>
                <w:b/>
                <w:bCs/>
                <w:iCs/>
              </w:rPr>
            </w:pPr>
            <w:r>
              <w:rPr>
                <w:b/>
                <w:bCs/>
                <w:iCs/>
              </w:rPr>
              <w:t>Современное состояние</w:t>
            </w:r>
          </w:p>
        </w:tc>
        <w:tc>
          <w:tcPr>
            <w:tcW w:w="1357" w:type="dxa"/>
          </w:tcPr>
          <w:p>
            <w:pPr>
              <w:ind w:right="-1"/>
              <w:jc w:val="center"/>
              <w:rPr>
                <w:b/>
                <w:bCs/>
                <w:iCs/>
              </w:rPr>
            </w:pPr>
            <w:r>
              <w:rPr>
                <w:b/>
                <w:bCs/>
                <w:iCs/>
              </w:rPr>
              <w:t>Первая очередь</w:t>
            </w:r>
          </w:p>
        </w:tc>
        <w:tc>
          <w:tcPr>
            <w:tcW w:w="1419" w:type="dxa"/>
          </w:tcPr>
          <w:p>
            <w:pPr>
              <w:ind w:right="-1"/>
              <w:jc w:val="center"/>
              <w:rPr>
                <w:b/>
                <w:bCs/>
                <w:iCs/>
              </w:rPr>
            </w:pPr>
            <w:r>
              <w:rPr>
                <w:b/>
                <w:bCs/>
                <w:iCs/>
              </w:rPr>
              <w:t>Расчетный срок</w:t>
            </w:r>
          </w:p>
          <w:p>
            <w:pPr>
              <w:ind w:right="-1"/>
              <w:jc w:val="center"/>
              <w:rPr>
                <w:b/>
                <w:bCs/>
                <w:i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rPr>
                <w:b/>
                <w:bCs/>
              </w:rPr>
            </w:pPr>
            <w:r>
              <w:rPr>
                <w:b/>
                <w:bCs/>
              </w:rPr>
              <w:t>1.</w:t>
            </w:r>
          </w:p>
        </w:tc>
        <w:tc>
          <w:tcPr>
            <w:tcW w:w="3772" w:type="dxa"/>
            <w:noWrap/>
          </w:tcPr>
          <w:p>
            <w:pPr>
              <w:ind w:right="-1"/>
              <w:rPr>
                <w:b/>
                <w:bCs/>
              </w:rPr>
            </w:pPr>
            <w:r>
              <w:rPr>
                <w:b/>
                <w:bCs/>
              </w:rPr>
              <w:t>Территории</w:t>
            </w:r>
          </w:p>
        </w:tc>
        <w:tc>
          <w:tcPr>
            <w:tcW w:w="1417" w:type="dxa"/>
            <w:noWrap/>
          </w:tcPr>
          <w:p>
            <w:pPr>
              <w:ind w:right="-1" w:firstLine="33"/>
            </w:pPr>
          </w:p>
        </w:tc>
        <w:tc>
          <w:tcPr>
            <w:tcW w:w="1356" w:type="dxa"/>
            <w:noWrap/>
          </w:tcPr>
          <w:p>
            <w:pPr>
              <w:ind w:right="-1"/>
            </w:pPr>
          </w:p>
        </w:tc>
        <w:tc>
          <w:tcPr>
            <w:tcW w:w="1357" w:type="dxa"/>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pPr>
            <w:r>
              <w:t>1.1.</w:t>
            </w:r>
          </w:p>
        </w:tc>
        <w:tc>
          <w:tcPr>
            <w:tcW w:w="3772" w:type="dxa"/>
            <w:noWrap/>
          </w:tcPr>
          <w:p>
            <w:pPr>
              <w:ind w:right="-1"/>
              <w:rPr>
                <w:b/>
                <w:bCs/>
              </w:rPr>
            </w:pPr>
            <w:r>
              <w:rPr>
                <w:b/>
                <w:bCs/>
              </w:rPr>
              <w:t>Территория села</w:t>
            </w:r>
          </w:p>
        </w:tc>
        <w:tc>
          <w:tcPr>
            <w:tcW w:w="1417" w:type="dxa"/>
            <w:noWrap/>
          </w:tcPr>
          <w:p>
            <w:pPr>
              <w:ind w:right="-1" w:firstLine="33"/>
            </w:pPr>
          </w:p>
        </w:tc>
        <w:tc>
          <w:tcPr>
            <w:tcW w:w="1356" w:type="dxa"/>
            <w:noWrap/>
          </w:tcPr>
          <w:p>
            <w:pPr>
              <w:ind w:right="-1"/>
            </w:pPr>
          </w:p>
        </w:tc>
        <w:tc>
          <w:tcPr>
            <w:tcW w:w="1357" w:type="dxa"/>
          </w:tcPr>
          <w:p>
            <w:pPr>
              <w:ind w:right="-1"/>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pPr>
          </w:p>
        </w:tc>
        <w:tc>
          <w:tcPr>
            <w:tcW w:w="3772" w:type="dxa"/>
            <w:noWrap/>
          </w:tcPr>
          <w:p>
            <w:pPr>
              <w:widowControl w:val="0"/>
              <w:snapToGrid w:val="0"/>
              <w:ind w:right="-1"/>
              <w:rPr>
                <w:b/>
              </w:rPr>
            </w:pPr>
            <w:r>
              <w:rPr>
                <w:b/>
              </w:rPr>
              <w:t>Общая площадь земель населенного пункта в установленных границах всего в том числе:</w:t>
            </w:r>
          </w:p>
        </w:tc>
        <w:tc>
          <w:tcPr>
            <w:tcW w:w="1417" w:type="dxa"/>
            <w:noWrap/>
          </w:tcPr>
          <w:p>
            <w:pPr>
              <w:widowControl w:val="0"/>
              <w:ind w:right="-1"/>
              <w:rPr>
                <w:b/>
              </w:rPr>
            </w:pPr>
            <w:r>
              <w:rPr>
                <w:b/>
              </w:rPr>
              <w:t>га</w:t>
            </w:r>
          </w:p>
        </w:tc>
        <w:tc>
          <w:tcPr>
            <w:tcW w:w="1356" w:type="dxa"/>
            <w:noWrap/>
          </w:tcPr>
          <w:p>
            <w:pPr>
              <w:ind w:right="-1"/>
              <w:rPr>
                <w:b/>
              </w:rPr>
            </w:pPr>
            <w:r>
              <w:rPr>
                <w:b/>
              </w:rPr>
              <w:t>311,39</w:t>
            </w:r>
          </w:p>
        </w:tc>
        <w:tc>
          <w:tcPr>
            <w:tcW w:w="1357" w:type="dxa"/>
          </w:tcPr>
          <w:p>
            <w:pPr>
              <w:widowControl w:val="0"/>
              <w:ind w:right="-1"/>
              <w:rPr>
                <w:b/>
              </w:rPr>
            </w:pPr>
            <w:r>
              <w:rPr>
                <w:b/>
              </w:rPr>
              <w:t>438,58</w:t>
            </w:r>
          </w:p>
        </w:tc>
        <w:tc>
          <w:tcPr>
            <w:tcW w:w="1419" w:type="dxa"/>
            <w:noWrap/>
          </w:tcPr>
          <w:p>
            <w:pPr>
              <w:widowControl w:val="0"/>
              <w:ind w:right="-1"/>
              <w:rPr>
                <w:b/>
              </w:rPr>
            </w:pPr>
            <w:r>
              <w:rPr>
                <w:b/>
              </w:rPr>
              <w:t>975,37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pPr>
          </w:p>
        </w:tc>
        <w:tc>
          <w:tcPr>
            <w:tcW w:w="3772" w:type="dxa"/>
            <w:noWrap/>
          </w:tcPr>
          <w:p>
            <w:pPr>
              <w:widowControl w:val="0"/>
              <w:snapToGrid w:val="0"/>
              <w:ind w:right="-1"/>
              <w:rPr>
                <w:b/>
              </w:rPr>
            </w:pPr>
            <w:r>
              <w:rPr>
                <w:b/>
              </w:rPr>
              <w:t>Жилая зона</w:t>
            </w:r>
          </w:p>
        </w:tc>
        <w:tc>
          <w:tcPr>
            <w:tcW w:w="1417" w:type="dxa"/>
            <w:noWrap/>
          </w:tcPr>
          <w:p>
            <w:pPr>
              <w:widowControl w:val="0"/>
              <w:snapToGrid w:val="0"/>
              <w:ind w:right="-1"/>
              <w:rPr>
                <w:b/>
              </w:rPr>
            </w:pPr>
            <w:r>
              <w:rPr>
                <w:b/>
              </w:rPr>
              <w:t>га</w:t>
            </w:r>
          </w:p>
        </w:tc>
        <w:tc>
          <w:tcPr>
            <w:tcW w:w="1356" w:type="dxa"/>
            <w:noWrap/>
          </w:tcPr>
          <w:p>
            <w:pPr>
              <w:ind w:right="-1"/>
              <w:rPr>
                <w:b/>
              </w:rPr>
            </w:pPr>
            <w:r>
              <w:rPr>
                <w:b/>
              </w:rPr>
              <w:t>160,00</w:t>
            </w:r>
          </w:p>
        </w:tc>
        <w:tc>
          <w:tcPr>
            <w:tcW w:w="1357" w:type="dxa"/>
          </w:tcPr>
          <w:p>
            <w:pPr>
              <w:widowControl w:val="0"/>
              <w:snapToGrid w:val="0"/>
              <w:ind w:right="-1"/>
              <w:rPr>
                <w:b/>
              </w:rPr>
            </w:pPr>
            <w:r>
              <w:rPr>
                <w:b/>
              </w:rPr>
              <w:t>192,90</w:t>
            </w:r>
          </w:p>
        </w:tc>
        <w:tc>
          <w:tcPr>
            <w:tcW w:w="1419" w:type="dxa"/>
            <w:noWrap/>
          </w:tcPr>
          <w:p>
            <w:pPr>
              <w:widowControl w:val="0"/>
              <w:snapToGrid w:val="0"/>
              <w:ind w:right="-1"/>
              <w:rPr>
                <w:b/>
              </w:rPr>
            </w:pPr>
            <w:r>
              <w:rPr>
                <w:b/>
              </w:rPr>
              <w:t>420,15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pPr>
          </w:p>
        </w:tc>
        <w:tc>
          <w:tcPr>
            <w:tcW w:w="3772" w:type="dxa"/>
            <w:noWrap/>
          </w:tcPr>
          <w:p>
            <w:pPr>
              <w:widowControl w:val="0"/>
              <w:snapToGrid w:val="0"/>
              <w:ind w:right="-1"/>
            </w:pPr>
            <w:r>
              <w:t xml:space="preserve">в том числе </w:t>
            </w:r>
          </w:p>
        </w:tc>
        <w:tc>
          <w:tcPr>
            <w:tcW w:w="1417" w:type="dxa"/>
            <w:noWrap/>
          </w:tcPr>
          <w:p>
            <w:pPr>
              <w:widowControl w:val="0"/>
              <w:snapToGrid w:val="0"/>
              <w:ind w:right="-1"/>
            </w:pPr>
          </w:p>
        </w:tc>
        <w:tc>
          <w:tcPr>
            <w:tcW w:w="1356" w:type="dxa"/>
            <w:noWrap/>
          </w:tcPr>
          <w:p>
            <w:pPr>
              <w:ind w:right="-1"/>
              <w:rPr>
                <w:b/>
              </w:rPr>
            </w:pPr>
          </w:p>
        </w:tc>
        <w:tc>
          <w:tcPr>
            <w:tcW w:w="1357" w:type="dxa"/>
          </w:tcPr>
          <w:p>
            <w:pPr>
              <w:widowControl w:val="0"/>
              <w:snapToGrid w:val="0"/>
              <w:ind w:right="-1"/>
            </w:pPr>
          </w:p>
        </w:tc>
        <w:tc>
          <w:tcPr>
            <w:tcW w:w="1419" w:type="dxa"/>
            <w:noWrap/>
          </w:tcPr>
          <w:p>
            <w:pPr>
              <w:widowControl w:val="0"/>
              <w:snapToGrid w:val="0"/>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787" w:type="dxa"/>
            <w:noWrap/>
          </w:tcPr>
          <w:p>
            <w:pPr>
              <w:ind w:right="-1"/>
            </w:pPr>
          </w:p>
        </w:tc>
        <w:tc>
          <w:tcPr>
            <w:tcW w:w="3772" w:type="dxa"/>
            <w:noWrap/>
          </w:tcPr>
          <w:p>
            <w:pPr>
              <w:widowControl w:val="0"/>
              <w:snapToGrid w:val="0"/>
              <w:ind w:right="-1"/>
            </w:pPr>
            <w:r>
              <w:t>- индивидуальные жилые дома с приусадебными земельными участками</w:t>
            </w:r>
          </w:p>
        </w:tc>
        <w:tc>
          <w:tcPr>
            <w:tcW w:w="1417" w:type="dxa"/>
            <w:noWrap/>
          </w:tcPr>
          <w:p>
            <w:pPr>
              <w:widowControl w:val="0"/>
              <w:snapToGrid w:val="0"/>
              <w:ind w:right="-1"/>
            </w:pPr>
            <w:r>
              <w:t>га</w:t>
            </w:r>
          </w:p>
          <w:p>
            <w:pPr>
              <w:widowControl w:val="0"/>
              <w:ind w:right="-1"/>
            </w:pPr>
          </w:p>
        </w:tc>
        <w:tc>
          <w:tcPr>
            <w:tcW w:w="1356" w:type="dxa"/>
            <w:noWrap/>
          </w:tcPr>
          <w:p>
            <w:pPr>
              <w:ind w:right="-1"/>
            </w:pPr>
            <w:r>
              <w:t>156,21</w:t>
            </w:r>
          </w:p>
        </w:tc>
        <w:tc>
          <w:tcPr>
            <w:tcW w:w="1357" w:type="dxa"/>
          </w:tcPr>
          <w:p>
            <w:pPr>
              <w:widowControl w:val="0"/>
              <w:snapToGrid w:val="0"/>
              <w:ind w:right="-1"/>
            </w:pPr>
            <w:r>
              <w:t>154,40</w:t>
            </w:r>
          </w:p>
        </w:tc>
        <w:tc>
          <w:tcPr>
            <w:tcW w:w="1419" w:type="dxa"/>
            <w:noWrap/>
          </w:tcPr>
          <w:p>
            <w:pPr>
              <w:widowControl w:val="0"/>
              <w:snapToGrid w:val="0"/>
              <w:ind w:right="-1"/>
            </w:pPr>
            <w:r>
              <w:t>154,40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787" w:type="dxa"/>
            <w:noWrap/>
          </w:tcPr>
          <w:p>
            <w:pPr>
              <w:ind w:right="-1"/>
            </w:pPr>
          </w:p>
        </w:tc>
        <w:tc>
          <w:tcPr>
            <w:tcW w:w="3772" w:type="dxa"/>
          </w:tcPr>
          <w:p>
            <w:pPr>
              <w:widowControl w:val="0"/>
              <w:snapToGrid w:val="0"/>
              <w:ind w:right="-1"/>
            </w:pPr>
            <w:r>
              <w:t>- многоквартирная жилая застройка</w:t>
            </w:r>
          </w:p>
        </w:tc>
        <w:tc>
          <w:tcPr>
            <w:tcW w:w="1417" w:type="dxa"/>
            <w:noWrap/>
          </w:tcPr>
          <w:p>
            <w:pPr>
              <w:widowControl w:val="0"/>
              <w:snapToGrid w:val="0"/>
              <w:ind w:right="-1"/>
            </w:pPr>
            <w:r>
              <w:t>га</w:t>
            </w:r>
          </w:p>
        </w:tc>
        <w:tc>
          <w:tcPr>
            <w:tcW w:w="1356" w:type="dxa"/>
            <w:noWrap/>
          </w:tcPr>
          <w:p>
            <w:pPr>
              <w:ind w:right="-1"/>
            </w:pPr>
            <w:r>
              <w:t>0,58</w:t>
            </w:r>
          </w:p>
        </w:tc>
        <w:tc>
          <w:tcPr>
            <w:tcW w:w="1357" w:type="dxa"/>
          </w:tcPr>
          <w:p>
            <w:pPr>
              <w:widowControl w:val="0"/>
              <w:snapToGrid w:val="0"/>
              <w:ind w:right="-1"/>
            </w:pPr>
            <w:r>
              <w:t>0,57</w:t>
            </w:r>
          </w:p>
        </w:tc>
        <w:tc>
          <w:tcPr>
            <w:tcW w:w="1419" w:type="dxa"/>
            <w:noWrap/>
          </w:tcPr>
          <w:p>
            <w:pPr>
              <w:widowControl w:val="0"/>
              <w:snapToGrid w:val="0"/>
              <w:ind w:right="-1"/>
            </w:pPr>
            <w:r>
              <w:t>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87" w:type="dxa"/>
            <w:noWrap/>
          </w:tcPr>
          <w:p>
            <w:pPr>
              <w:ind w:right="-1"/>
            </w:pPr>
          </w:p>
        </w:tc>
        <w:tc>
          <w:tcPr>
            <w:tcW w:w="3772" w:type="dxa"/>
            <w:noWrap/>
          </w:tcPr>
          <w:p>
            <w:pPr>
              <w:widowControl w:val="0"/>
              <w:snapToGrid w:val="0"/>
              <w:ind w:right="-1"/>
            </w:pPr>
            <w:r>
              <w:t>- индивидуальная жилая застройка, проектируемая на первую очередь</w:t>
            </w:r>
          </w:p>
        </w:tc>
        <w:tc>
          <w:tcPr>
            <w:tcW w:w="1417" w:type="dxa"/>
            <w:noWrap/>
          </w:tcPr>
          <w:p>
            <w:pPr>
              <w:widowControl w:val="0"/>
              <w:snapToGrid w:val="0"/>
              <w:ind w:right="-1"/>
            </w:pPr>
            <w:r>
              <w:t>га</w:t>
            </w:r>
          </w:p>
        </w:tc>
        <w:tc>
          <w:tcPr>
            <w:tcW w:w="1356" w:type="dxa"/>
            <w:noWrap/>
          </w:tcPr>
          <w:p>
            <w:pPr>
              <w:ind w:right="-1"/>
            </w:pPr>
            <w:r>
              <w:t>-</w:t>
            </w:r>
          </w:p>
        </w:tc>
        <w:tc>
          <w:tcPr>
            <w:tcW w:w="1357" w:type="dxa"/>
          </w:tcPr>
          <w:p>
            <w:pPr>
              <w:widowControl w:val="0"/>
              <w:snapToGrid w:val="0"/>
              <w:ind w:right="-1"/>
            </w:pPr>
            <w:r>
              <w:t>2,57</w:t>
            </w:r>
          </w:p>
        </w:tc>
        <w:tc>
          <w:tcPr>
            <w:tcW w:w="1419" w:type="dxa"/>
            <w:noWrap/>
          </w:tcPr>
          <w:p>
            <w:pPr>
              <w:widowControl w:val="0"/>
              <w:snapToGrid w:val="0"/>
              <w:ind w:right="-1"/>
            </w:pPr>
            <w:r>
              <w:t>111,04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87" w:type="dxa"/>
            <w:noWrap/>
          </w:tcPr>
          <w:p>
            <w:pPr>
              <w:ind w:right="-1"/>
            </w:pPr>
          </w:p>
        </w:tc>
        <w:tc>
          <w:tcPr>
            <w:tcW w:w="3772" w:type="dxa"/>
          </w:tcPr>
          <w:p>
            <w:pPr>
              <w:widowControl w:val="0"/>
              <w:snapToGrid w:val="0"/>
              <w:ind w:right="-1"/>
            </w:pPr>
            <w:r>
              <w:t>- блокированная жилая застройка, проектируемая на первую очередь</w:t>
            </w:r>
          </w:p>
        </w:tc>
        <w:tc>
          <w:tcPr>
            <w:tcW w:w="1417" w:type="dxa"/>
            <w:noWrap/>
          </w:tcPr>
          <w:p>
            <w:pPr>
              <w:widowControl w:val="0"/>
              <w:snapToGrid w:val="0"/>
              <w:ind w:right="-1"/>
            </w:pPr>
            <w:r>
              <w:t>га</w:t>
            </w:r>
          </w:p>
        </w:tc>
        <w:tc>
          <w:tcPr>
            <w:tcW w:w="1356" w:type="dxa"/>
            <w:noWrap/>
          </w:tcPr>
          <w:p>
            <w:pPr>
              <w:ind w:right="-1"/>
            </w:pPr>
            <w:r>
              <w:t>-</w:t>
            </w:r>
          </w:p>
        </w:tc>
        <w:tc>
          <w:tcPr>
            <w:tcW w:w="1357" w:type="dxa"/>
          </w:tcPr>
          <w:p>
            <w:pPr>
              <w:widowControl w:val="0"/>
              <w:snapToGrid w:val="0"/>
              <w:ind w:right="-1"/>
            </w:pPr>
            <w:r>
              <w:t>22,46</w:t>
            </w:r>
          </w:p>
        </w:tc>
        <w:tc>
          <w:tcPr>
            <w:tcW w:w="1419" w:type="dxa"/>
            <w:noWrap/>
          </w:tcPr>
          <w:p>
            <w:pPr>
              <w:widowControl w:val="0"/>
              <w:snapToGrid w:val="0"/>
              <w:ind w:right="-1"/>
            </w:pPr>
            <w:r>
              <w:t>44,06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87" w:type="dxa"/>
            <w:noWrap/>
          </w:tcPr>
          <w:p>
            <w:pPr>
              <w:ind w:right="-1"/>
            </w:pPr>
          </w:p>
        </w:tc>
        <w:tc>
          <w:tcPr>
            <w:tcW w:w="3772" w:type="dxa"/>
            <w:noWrap/>
          </w:tcPr>
          <w:p>
            <w:pPr>
              <w:widowControl w:val="0"/>
              <w:snapToGrid w:val="0"/>
              <w:ind w:right="-1"/>
            </w:pPr>
            <w:r>
              <w:t>- застройка секционного типа, проектируемая на первую очередь</w:t>
            </w:r>
          </w:p>
        </w:tc>
        <w:tc>
          <w:tcPr>
            <w:tcW w:w="1417" w:type="dxa"/>
            <w:noWrap/>
          </w:tcPr>
          <w:p>
            <w:pPr>
              <w:widowControl w:val="0"/>
              <w:snapToGrid w:val="0"/>
              <w:ind w:right="-1"/>
            </w:pPr>
            <w:r>
              <w:t>га</w:t>
            </w:r>
          </w:p>
        </w:tc>
        <w:tc>
          <w:tcPr>
            <w:tcW w:w="1356" w:type="dxa"/>
            <w:noWrap/>
          </w:tcPr>
          <w:p>
            <w:pPr>
              <w:ind w:right="-1"/>
            </w:pPr>
            <w:r>
              <w:t>-</w:t>
            </w:r>
          </w:p>
        </w:tc>
        <w:tc>
          <w:tcPr>
            <w:tcW w:w="1357" w:type="dxa"/>
          </w:tcPr>
          <w:p>
            <w:pPr>
              <w:widowControl w:val="0"/>
              <w:snapToGrid w:val="0"/>
              <w:ind w:right="-1"/>
            </w:pPr>
            <w:r>
              <w:t>5,09</w:t>
            </w:r>
          </w:p>
        </w:tc>
        <w:tc>
          <w:tcPr>
            <w:tcW w:w="1419" w:type="dxa"/>
            <w:noWrap/>
          </w:tcPr>
          <w:p>
            <w:pPr>
              <w:widowControl w:val="0"/>
              <w:snapToGrid w:val="0"/>
              <w:ind w:right="-1"/>
            </w:pPr>
            <w:r>
              <w:t>31,75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87" w:type="dxa"/>
            <w:noWrap/>
          </w:tcPr>
          <w:p>
            <w:pPr>
              <w:ind w:right="-1"/>
            </w:pPr>
          </w:p>
        </w:tc>
        <w:tc>
          <w:tcPr>
            <w:tcW w:w="3772" w:type="dxa"/>
          </w:tcPr>
          <w:p>
            <w:pPr>
              <w:widowControl w:val="0"/>
              <w:snapToGrid w:val="0"/>
              <w:ind w:right="-1"/>
            </w:pPr>
            <w:r>
              <w:t xml:space="preserve">- индивидуальная жилая </w:t>
            </w:r>
          </w:p>
          <w:p>
            <w:pPr>
              <w:widowControl w:val="0"/>
              <w:snapToGrid w:val="0"/>
              <w:ind w:right="-1"/>
            </w:pPr>
            <w:r>
              <w:t>застройка с приусадебными участками, проектируемая на расчетный срок</w:t>
            </w:r>
          </w:p>
        </w:tc>
        <w:tc>
          <w:tcPr>
            <w:tcW w:w="1417" w:type="dxa"/>
            <w:noWrap/>
          </w:tcPr>
          <w:p>
            <w:pPr>
              <w:widowControl w:val="0"/>
              <w:snapToGrid w:val="0"/>
              <w:ind w:right="-1"/>
            </w:pPr>
            <w:r>
              <w:t>га</w:t>
            </w:r>
          </w:p>
        </w:tc>
        <w:tc>
          <w:tcPr>
            <w:tcW w:w="1356" w:type="dxa"/>
            <w:noWrap/>
          </w:tcPr>
          <w:p>
            <w:pPr>
              <w:ind w:right="-1"/>
              <w:rPr>
                <w:b/>
              </w:rPr>
            </w:pPr>
            <w:r>
              <w:rPr>
                <w:b/>
              </w:rPr>
              <w:t>-</w:t>
            </w:r>
          </w:p>
        </w:tc>
        <w:tc>
          <w:tcPr>
            <w:tcW w:w="1357" w:type="dxa"/>
          </w:tcPr>
          <w:p>
            <w:pPr>
              <w:widowControl w:val="0"/>
              <w:snapToGrid w:val="0"/>
              <w:ind w:right="-1"/>
            </w:pPr>
            <w:r>
              <w:t>3,44</w:t>
            </w:r>
          </w:p>
        </w:tc>
        <w:tc>
          <w:tcPr>
            <w:tcW w:w="1419" w:type="dxa"/>
            <w:noWrap/>
          </w:tcPr>
          <w:p>
            <w:pPr>
              <w:widowControl w:val="0"/>
              <w:snapToGrid w:val="0"/>
              <w:ind w:right="-1"/>
            </w:pPr>
            <w:r>
              <w:t>47,68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7" w:type="dxa"/>
            <w:noWrap/>
          </w:tcPr>
          <w:p>
            <w:pPr>
              <w:ind w:right="-1"/>
            </w:pPr>
          </w:p>
        </w:tc>
        <w:tc>
          <w:tcPr>
            <w:tcW w:w="3772" w:type="dxa"/>
          </w:tcPr>
          <w:p>
            <w:pPr>
              <w:widowControl w:val="0"/>
              <w:snapToGrid w:val="0"/>
              <w:ind w:right="-1"/>
            </w:pPr>
            <w:r>
              <w:t>- территория детских дошкольных и образовательных учреждений</w:t>
            </w:r>
          </w:p>
        </w:tc>
        <w:tc>
          <w:tcPr>
            <w:tcW w:w="1417" w:type="dxa"/>
            <w:noWrap/>
          </w:tcPr>
          <w:p>
            <w:pPr>
              <w:widowControl w:val="0"/>
              <w:snapToGrid w:val="0"/>
              <w:ind w:right="-1"/>
            </w:pPr>
            <w:r>
              <w:t>га</w:t>
            </w:r>
          </w:p>
        </w:tc>
        <w:tc>
          <w:tcPr>
            <w:tcW w:w="1356" w:type="dxa"/>
            <w:noWrap/>
          </w:tcPr>
          <w:p>
            <w:pPr>
              <w:ind w:right="-1"/>
            </w:pPr>
            <w:r>
              <w:t>2,59</w:t>
            </w:r>
          </w:p>
        </w:tc>
        <w:tc>
          <w:tcPr>
            <w:tcW w:w="1357" w:type="dxa"/>
          </w:tcPr>
          <w:p>
            <w:pPr>
              <w:widowControl w:val="0"/>
              <w:snapToGrid w:val="0"/>
              <w:ind w:right="-1"/>
            </w:pPr>
            <w:r>
              <w:t>3,75</w:t>
            </w:r>
          </w:p>
        </w:tc>
        <w:tc>
          <w:tcPr>
            <w:tcW w:w="1419" w:type="dxa"/>
            <w:noWrap/>
          </w:tcPr>
          <w:p>
            <w:pPr>
              <w:widowControl w:val="0"/>
              <w:snapToGrid w:val="0"/>
              <w:ind w:right="-1"/>
            </w:pPr>
            <w:r>
              <w:t>24,61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787" w:type="dxa"/>
            <w:noWrap/>
          </w:tcPr>
          <w:p>
            <w:pPr>
              <w:ind w:right="-1"/>
            </w:pPr>
          </w:p>
        </w:tc>
        <w:tc>
          <w:tcPr>
            <w:tcW w:w="3772" w:type="dxa"/>
          </w:tcPr>
          <w:p>
            <w:pPr>
              <w:widowControl w:val="0"/>
              <w:snapToGrid w:val="0"/>
              <w:ind w:right="-1"/>
            </w:pPr>
            <w:r>
              <w:t>- территория учреждений здравоохранения</w:t>
            </w:r>
          </w:p>
        </w:tc>
        <w:tc>
          <w:tcPr>
            <w:tcW w:w="1417" w:type="dxa"/>
            <w:noWrap/>
          </w:tcPr>
          <w:p>
            <w:pPr>
              <w:widowControl w:val="0"/>
              <w:snapToGrid w:val="0"/>
              <w:ind w:right="-1"/>
            </w:pPr>
            <w:r>
              <w:t>га</w:t>
            </w:r>
          </w:p>
        </w:tc>
        <w:tc>
          <w:tcPr>
            <w:tcW w:w="1356" w:type="dxa"/>
            <w:noWrap/>
          </w:tcPr>
          <w:p>
            <w:pPr>
              <w:ind w:right="-1"/>
            </w:pPr>
            <w:r>
              <w:t>0,62</w:t>
            </w:r>
          </w:p>
        </w:tc>
        <w:tc>
          <w:tcPr>
            <w:tcW w:w="1357" w:type="dxa"/>
          </w:tcPr>
          <w:p>
            <w:pPr>
              <w:widowControl w:val="0"/>
              <w:snapToGrid w:val="0"/>
              <w:ind w:right="-1"/>
            </w:pPr>
            <w:r>
              <w:t>0,62</w:t>
            </w:r>
          </w:p>
        </w:tc>
        <w:tc>
          <w:tcPr>
            <w:tcW w:w="1419" w:type="dxa"/>
            <w:noWrap/>
          </w:tcPr>
          <w:p>
            <w:pPr>
              <w:widowControl w:val="0"/>
              <w:snapToGrid w:val="0"/>
              <w:ind w:right="-1"/>
            </w:pPr>
            <w:r>
              <w:t>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87" w:type="dxa"/>
            <w:noWrap/>
          </w:tcPr>
          <w:p>
            <w:pPr>
              <w:ind w:right="-1"/>
            </w:pPr>
          </w:p>
        </w:tc>
        <w:tc>
          <w:tcPr>
            <w:tcW w:w="3772" w:type="dxa"/>
            <w:noWrap/>
          </w:tcPr>
          <w:p>
            <w:pPr>
              <w:widowControl w:val="0"/>
              <w:snapToGrid w:val="0"/>
              <w:ind w:right="-1"/>
              <w:rPr>
                <w:b/>
              </w:rPr>
            </w:pPr>
            <w:r>
              <w:rPr>
                <w:b/>
              </w:rPr>
              <w:t>Многофункциональная общественно-деловая зона и зона специализированной общественной застройки</w:t>
            </w:r>
          </w:p>
        </w:tc>
        <w:tc>
          <w:tcPr>
            <w:tcW w:w="1417" w:type="dxa"/>
            <w:noWrap/>
          </w:tcPr>
          <w:p>
            <w:pPr>
              <w:widowControl w:val="0"/>
              <w:snapToGrid w:val="0"/>
              <w:ind w:right="-1"/>
              <w:rPr>
                <w:b/>
              </w:rPr>
            </w:pPr>
            <w:r>
              <w:rPr>
                <w:b/>
              </w:rPr>
              <w:t>га</w:t>
            </w:r>
          </w:p>
        </w:tc>
        <w:tc>
          <w:tcPr>
            <w:tcW w:w="1356" w:type="dxa"/>
            <w:noWrap/>
          </w:tcPr>
          <w:p>
            <w:pPr>
              <w:ind w:right="-1"/>
              <w:rPr>
                <w:b/>
              </w:rPr>
            </w:pPr>
            <w:r>
              <w:rPr>
                <w:b/>
              </w:rPr>
              <w:t>4,02</w:t>
            </w:r>
          </w:p>
        </w:tc>
        <w:tc>
          <w:tcPr>
            <w:tcW w:w="1357" w:type="dxa"/>
          </w:tcPr>
          <w:p>
            <w:pPr>
              <w:widowControl w:val="0"/>
              <w:snapToGrid w:val="0"/>
              <w:ind w:right="-1"/>
              <w:rPr>
                <w:b/>
              </w:rPr>
            </w:pPr>
            <w:r>
              <w:rPr>
                <w:b/>
              </w:rPr>
              <w:t>20,77</w:t>
            </w:r>
          </w:p>
        </w:tc>
        <w:tc>
          <w:tcPr>
            <w:tcW w:w="1419" w:type="dxa"/>
            <w:noWrap/>
          </w:tcPr>
          <w:p>
            <w:pPr>
              <w:widowControl w:val="0"/>
              <w:snapToGrid w:val="0"/>
              <w:ind w:right="-1"/>
              <w:rPr>
                <w:b/>
              </w:rPr>
            </w:pPr>
            <w:r>
              <w:rPr>
                <w:b/>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87" w:type="dxa"/>
            <w:noWrap/>
          </w:tcPr>
          <w:p>
            <w:pPr>
              <w:ind w:right="-1"/>
            </w:pPr>
          </w:p>
        </w:tc>
        <w:tc>
          <w:tcPr>
            <w:tcW w:w="3772" w:type="dxa"/>
            <w:noWrap/>
          </w:tcPr>
          <w:p>
            <w:pPr>
              <w:widowControl w:val="0"/>
              <w:snapToGrid w:val="0"/>
              <w:ind w:right="-1"/>
            </w:pPr>
            <w:r>
              <w:t>- территория организаций и учреждений управления, учреждений культуры и искусства, предприятия связи, объектов торговли, общественного питания</w:t>
            </w:r>
          </w:p>
        </w:tc>
        <w:tc>
          <w:tcPr>
            <w:tcW w:w="1417" w:type="dxa"/>
            <w:noWrap/>
          </w:tcPr>
          <w:p>
            <w:pPr>
              <w:widowControl w:val="0"/>
              <w:snapToGrid w:val="0"/>
              <w:ind w:right="-1"/>
            </w:pPr>
            <w:r>
              <w:t>га</w:t>
            </w:r>
          </w:p>
        </w:tc>
        <w:tc>
          <w:tcPr>
            <w:tcW w:w="1356" w:type="dxa"/>
            <w:noWrap/>
          </w:tcPr>
          <w:p>
            <w:pPr>
              <w:ind w:right="-1"/>
            </w:pPr>
            <w:r>
              <w:t>4,02</w:t>
            </w:r>
          </w:p>
        </w:tc>
        <w:tc>
          <w:tcPr>
            <w:tcW w:w="1357" w:type="dxa"/>
          </w:tcPr>
          <w:p>
            <w:pPr>
              <w:widowControl w:val="0"/>
              <w:snapToGrid w:val="0"/>
              <w:ind w:right="-1"/>
            </w:pPr>
            <w:r>
              <w:t>20,77</w:t>
            </w:r>
          </w:p>
        </w:tc>
        <w:tc>
          <w:tcPr>
            <w:tcW w:w="1419" w:type="dxa"/>
            <w:noWrap/>
          </w:tcPr>
          <w:p>
            <w:pPr>
              <w:widowControl w:val="0"/>
              <w:snapToGrid w:val="0"/>
              <w:ind w:right="-1"/>
            </w:pPr>
            <w: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87" w:type="dxa"/>
            <w:noWrap/>
          </w:tcPr>
          <w:p>
            <w:pPr>
              <w:ind w:right="-1"/>
            </w:pPr>
          </w:p>
        </w:tc>
        <w:tc>
          <w:tcPr>
            <w:tcW w:w="3772" w:type="dxa"/>
            <w:noWrap/>
          </w:tcPr>
          <w:p>
            <w:pPr>
              <w:widowControl w:val="0"/>
              <w:snapToGrid w:val="0"/>
              <w:ind w:right="-1"/>
              <w:rPr>
                <w:b/>
              </w:rPr>
            </w:pPr>
            <w:r>
              <w:rPr>
                <w:b/>
              </w:rPr>
              <w:t>Производственная и коммунально-складская зона</w:t>
            </w:r>
          </w:p>
        </w:tc>
        <w:tc>
          <w:tcPr>
            <w:tcW w:w="1417" w:type="dxa"/>
            <w:noWrap/>
          </w:tcPr>
          <w:p>
            <w:pPr>
              <w:widowControl w:val="0"/>
              <w:snapToGrid w:val="0"/>
              <w:ind w:right="-1"/>
              <w:rPr>
                <w:b/>
              </w:rPr>
            </w:pPr>
            <w:r>
              <w:rPr>
                <w:b/>
              </w:rPr>
              <w:t>га</w:t>
            </w:r>
          </w:p>
        </w:tc>
        <w:tc>
          <w:tcPr>
            <w:tcW w:w="1356" w:type="dxa"/>
            <w:noWrap/>
          </w:tcPr>
          <w:p>
            <w:pPr>
              <w:ind w:right="-1"/>
              <w:rPr>
                <w:b/>
              </w:rPr>
            </w:pPr>
            <w:r>
              <w:rPr>
                <w:b/>
              </w:rPr>
              <w:t>2,06</w:t>
            </w:r>
          </w:p>
        </w:tc>
        <w:tc>
          <w:tcPr>
            <w:tcW w:w="1357" w:type="dxa"/>
          </w:tcPr>
          <w:p>
            <w:pPr>
              <w:widowControl w:val="0"/>
              <w:snapToGrid w:val="0"/>
              <w:ind w:right="-1"/>
              <w:rPr>
                <w:b/>
              </w:rPr>
            </w:pPr>
            <w:r>
              <w:rPr>
                <w:b/>
              </w:rPr>
              <w:t>50,88</w:t>
            </w:r>
          </w:p>
        </w:tc>
        <w:tc>
          <w:tcPr>
            <w:tcW w:w="1419" w:type="dxa"/>
            <w:noWrap/>
          </w:tcPr>
          <w:p>
            <w:pPr>
              <w:widowControl w:val="0"/>
              <w:snapToGrid w:val="0"/>
              <w:ind w:right="-1"/>
              <w:rPr>
                <w:b/>
              </w:rPr>
            </w:pPr>
            <w:r>
              <w:rPr>
                <w:b/>
              </w:rPr>
              <w:t>74,66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87" w:type="dxa"/>
            <w:noWrap/>
          </w:tcPr>
          <w:p>
            <w:pPr>
              <w:ind w:right="-1"/>
            </w:pPr>
          </w:p>
        </w:tc>
        <w:tc>
          <w:tcPr>
            <w:tcW w:w="3772" w:type="dxa"/>
            <w:noWrap/>
          </w:tcPr>
          <w:p>
            <w:pPr>
              <w:widowControl w:val="0"/>
              <w:snapToGrid w:val="0"/>
              <w:ind w:right="-1"/>
            </w:pPr>
            <w:r>
              <w:t xml:space="preserve">в том числе </w:t>
            </w:r>
          </w:p>
        </w:tc>
        <w:tc>
          <w:tcPr>
            <w:tcW w:w="1417" w:type="dxa"/>
            <w:noWrap/>
          </w:tcPr>
          <w:p>
            <w:pPr>
              <w:widowControl w:val="0"/>
              <w:snapToGrid w:val="0"/>
              <w:ind w:right="-1"/>
            </w:pPr>
          </w:p>
        </w:tc>
        <w:tc>
          <w:tcPr>
            <w:tcW w:w="1356" w:type="dxa"/>
            <w:noWrap/>
          </w:tcPr>
          <w:p>
            <w:pPr>
              <w:ind w:right="-1"/>
            </w:pPr>
          </w:p>
        </w:tc>
        <w:tc>
          <w:tcPr>
            <w:tcW w:w="1357" w:type="dxa"/>
          </w:tcPr>
          <w:p>
            <w:pPr>
              <w:widowControl w:val="0"/>
              <w:snapToGrid w:val="0"/>
              <w:ind w:right="-1"/>
            </w:pPr>
          </w:p>
        </w:tc>
        <w:tc>
          <w:tcPr>
            <w:tcW w:w="1419" w:type="dxa"/>
            <w:noWrap/>
          </w:tcPr>
          <w:p>
            <w:pPr>
              <w:widowControl w:val="0"/>
              <w:snapToGrid w:val="0"/>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87" w:type="dxa"/>
            <w:noWrap/>
          </w:tcPr>
          <w:p>
            <w:pPr>
              <w:ind w:right="-1"/>
            </w:pPr>
          </w:p>
        </w:tc>
        <w:tc>
          <w:tcPr>
            <w:tcW w:w="3772" w:type="dxa"/>
          </w:tcPr>
          <w:p>
            <w:pPr>
              <w:widowControl w:val="0"/>
              <w:snapToGrid w:val="0"/>
              <w:ind w:right="-1"/>
            </w:pPr>
            <w:r>
              <w:t>- территория существующих производственных предприятий</w:t>
            </w:r>
          </w:p>
        </w:tc>
        <w:tc>
          <w:tcPr>
            <w:tcW w:w="1417" w:type="dxa"/>
            <w:noWrap/>
          </w:tcPr>
          <w:p>
            <w:pPr>
              <w:widowControl w:val="0"/>
              <w:snapToGrid w:val="0"/>
              <w:ind w:right="-1"/>
            </w:pPr>
            <w:r>
              <w:t>га</w:t>
            </w:r>
          </w:p>
        </w:tc>
        <w:tc>
          <w:tcPr>
            <w:tcW w:w="1356" w:type="dxa"/>
            <w:noWrap/>
          </w:tcPr>
          <w:p>
            <w:pPr>
              <w:ind w:right="-1"/>
            </w:pPr>
            <w:r>
              <w:t>1,52</w:t>
            </w:r>
          </w:p>
        </w:tc>
        <w:tc>
          <w:tcPr>
            <w:tcW w:w="1357" w:type="dxa"/>
          </w:tcPr>
          <w:p>
            <w:pPr>
              <w:widowControl w:val="0"/>
              <w:snapToGrid w:val="0"/>
              <w:ind w:right="-1"/>
            </w:pPr>
            <w:r>
              <w:t>3,10</w:t>
            </w:r>
          </w:p>
        </w:tc>
        <w:tc>
          <w:tcPr>
            <w:tcW w:w="1419" w:type="dxa"/>
            <w:noWrap/>
          </w:tcPr>
          <w:p>
            <w:pPr>
              <w:widowControl w:val="0"/>
              <w:snapToGrid w:val="0"/>
              <w:ind w:right="-1"/>
            </w:pPr>
            <w: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7" w:type="dxa"/>
            <w:noWrap/>
          </w:tcPr>
          <w:p>
            <w:pPr>
              <w:ind w:right="-1"/>
            </w:pPr>
          </w:p>
        </w:tc>
        <w:tc>
          <w:tcPr>
            <w:tcW w:w="3772" w:type="dxa"/>
            <w:noWrap/>
          </w:tcPr>
          <w:p>
            <w:pPr>
              <w:widowControl w:val="0"/>
              <w:snapToGrid w:val="0"/>
              <w:ind w:right="-1"/>
            </w:pPr>
            <w:r>
              <w:t>- территория коммунально-складских предприятий</w:t>
            </w:r>
          </w:p>
        </w:tc>
        <w:tc>
          <w:tcPr>
            <w:tcW w:w="1417" w:type="dxa"/>
            <w:noWrap/>
          </w:tcPr>
          <w:p>
            <w:pPr>
              <w:widowControl w:val="0"/>
              <w:snapToGrid w:val="0"/>
              <w:ind w:right="-1"/>
            </w:pPr>
            <w:r>
              <w:t>га</w:t>
            </w:r>
          </w:p>
        </w:tc>
        <w:tc>
          <w:tcPr>
            <w:tcW w:w="1356" w:type="dxa"/>
            <w:noWrap/>
          </w:tcPr>
          <w:p>
            <w:pPr>
              <w:ind w:right="-1"/>
            </w:pPr>
            <w:r>
              <w:t>0,54</w:t>
            </w:r>
          </w:p>
        </w:tc>
        <w:tc>
          <w:tcPr>
            <w:tcW w:w="1357" w:type="dxa"/>
          </w:tcPr>
          <w:p>
            <w:pPr>
              <w:widowControl w:val="0"/>
              <w:snapToGrid w:val="0"/>
              <w:ind w:right="-1"/>
            </w:pPr>
            <w:r>
              <w:t>8,71</w:t>
            </w:r>
          </w:p>
        </w:tc>
        <w:tc>
          <w:tcPr>
            <w:tcW w:w="1419" w:type="dxa"/>
            <w:noWrap/>
          </w:tcPr>
          <w:p>
            <w:pPr>
              <w:widowControl w:val="0"/>
              <w:snapToGrid w:val="0"/>
              <w:ind w:right="-1"/>
            </w:pPr>
            <w:r>
              <w:t>25,71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87" w:type="dxa"/>
            <w:noWrap/>
          </w:tcPr>
          <w:p>
            <w:pPr>
              <w:ind w:right="-1"/>
            </w:pPr>
            <w:r>
              <w:t>1.2.</w:t>
            </w:r>
          </w:p>
        </w:tc>
        <w:tc>
          <w:tcPr>
            <w:tcW w:w="3772" w:type="dxa"/>
            <w:noWrap/>
          </w:tcPr>
          <w:p>
            <w:pPr>
              <w:widowControl w:val="0"/>
              <w:snapToGrid w:val="0"/>
              <w:ind w:right="-1"/>
            </w:pPr>
            <w:r>
              <w:t>- зеленые насаждения санитарно-защитного назначения</w:t>
            </w:r>
          </w:p>
        </w:tc>
        <w:tc>
          <w:tcPr>
            <w:tcW w:w="1417" w:type="dxa"/>
            <w:noWrap/>
          </w:tcPr>
          <w:p>
            <w:pPr>
              <w:widowControl w:val="0"/>
              <w:snapToGrid w:val="0"/>
              <w:ind w:right="-1"/>
            </w:pPr>
            <w:r>
              <w:t>га</w:t>
            </w:r>
          </w:p>
        </w:tc>
        <w:tc>
          <w:tcPr>
            <w:tcW w:w="1356" w:type="dxa"/>
            <w:noWrap/>
          </w:tcPr>
          <w:p>
            <w:pPr>
              <w:ind w:right="-1"/>
            </w:pPr>
            <w:r>
              <w:t>-</w:t>
            </w:r>
          </w:p>
        </w:tc>
        <w:tc>
          <w:tcPr>
            <w:tcW w:w="1357" w:type="dxa"/>
          </w:tcPr>
          <w:p>
            <w:pPr>
              <w:widowControl w:val="0"/>
              <w:snapToGrid w:val="0"/>
              <w:ind w:right="-1"/>
            </w:pPr>
            <w:r>
              <w:t>39,07</w:t>
            </w:r>
          </w:p>
        </w:tc>
        <w:tc>
          <w:tcPr>
            <w:tcW w:w="1419" w:type="dxa"/>
            <w:noWrap/>
          </w:tcPr>
          <w:p>
            <w:pPr>
              <w:widowControl w:val="0"/>
              <w:snapToGrid w:val="0"/>
              <w:ind w:right="-1"/>
            </w:pPr>
            <w:r>
              <w:t>45,85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87" w:type="dxa"/>
            <w:noWrap/>
          </w:tcPr>
          <w:p>
            <w:pPr>
              <w:ind w:right="-1"/>
            </w:pPr>
          </w:p>
        </w:tc>
        <w:tc>
          <w:tcPr>
            <w:tcW w:w="3772" w:type="dxa"/>
            <w:noWrap/>
          </w:tcPr>
          <w:p>
            <w:pPr>
              <w:ind w:right="-1"/>
              <w:rPr>
                <w:b/>
              </w:rPr>
            </w:pPr>
            <w:r>
              <w:rPr>
                <w:b/>
              </w:rPr>
              <w:t>Зона инженерной и транспортной инфраструктур</w:t>
            </w:r>
          </w:p>
        </w:tc>
        <w:tc>
          <w:tcPr>
            <w:tcW w:w="1417" w:type="dxa"/>
            <w:noWrap/>
          </w:tcPr>
          <w:p>
            <w:pPr>
              <w:widowControl w:val="0"/>
              <w:autoSpaceDE w:val="0"/>
              <w:autoSpaceDN w:val="0"/>
              <w:adjustRightInd w:val="0"/>
              <w:ind w:right="-1"/>
              <w:rPr>
                <w:b/>
              </w:rPr>
            </w:pPr>
            <w:r>
              <w:rPr>
                <w:b/>
              </w:rPr>
              <w:t>га</w:t>
            </w:r>
          </w:p>
        </w:tc>
        <w:tc>
          <w:tcPr>
            <w:tcW w:w="1356" w:type="dxa"/>
            <w:noWrap/>
          </w:tcPr>
          <w:p>
            <w:pPr>
              <w:ind w:right="-1"/>
              <w:rPr>
                <w:b/>
              </w:rPr>
            </w:pPr>
            <w:r>
              <w:rPr>
                <w:b/>
              </w:rPr>
              <w:t>46,85</w:t>
            </w:r>
          </w:p>
        </w:tc>
        <w:tc>
          <w:tcPr>
            <w:tcW w:w="1357" w:type="dxa"/>
          </w:tcPr>
          <w:p>
            <w:pPr>
              <w:spacing w:line="200" w:lineRule="atLeast"/>
              <w:rPr>
                <w:b/>
                <w:bCs/>
              </w:rPr>
            </w:pPr>
            <w:r>
              <w:rPr>
                <w:b/>
                <w:bCs/>
              </w:rPr>
              <w:t>81,04</w:t>
            </w:r>
          </w:p>
        </w:tc>
        <w:tc>
          <w:tcPr>
            <w:tcW w:w="1419" w:type="dxa"/>
            <w:noWrap/>
          </w:tcPr>
          <w:p>
            <w:pPr>
              <w:widowControl w:val="0"/>
              <w:snapToGrid w:val="0"/>
              <w:ind w:right="-1"/>
              <w:rPr>
                <w:b/>
              </w:rPr>
            </w:pPr>
            <w:r>
              <w:rPr>
                <w:b/>
              </w:rPr>
              <w:t>211,66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87" w:type="dxa"/>
            <w:noWrap/>
          </w:tcPr>
          <w:p>
            <w:pPr>
              <w:ind w:right="-1"/>
            </w:pPr>
          </w:p>
        </w:tc>
        <w:tc>
          <w:tcPr>
            <w:tcW w:w="3772" w:type="dxa"/>
            <w:noWrap/>
          </w:tcPr>
          <w:p>
            <w:pPr>
              <w:widowControl w:val="0"/>
              <w:snapToGrid w:val="0"/>
              <w:ind w:right="-1"/>
            </w:pPr>
            <w:r>
              <w:t xml:space="preserve">в том числе </w:t>
            </w:r>
          </w:p>
        </w:tc>
        <w:tc>
          <w:tcPr>
            <w:tcW w:w="1417" w:type="dxa"/>
            <w:noWrap/>
          </w:tcPr>
          <w:p>
            <w:pPr>
              <w:widowControl w:val="0"/>
              <w:snapToGrid w:val="0"/>
              <w:ind w:right="-1"/>
            </w:pPr>
          </w:p>
        </w:tc>
        <w:tc>
          <w:tcPr>
            <w:tcW w:w="1356" w:type="dxa"/>
            <w:noWrap/>
          </w:tcPr>
          <w:p>
            <w:pPr>
              <w:ind w:right="-1"/>
            </w:pPr>
          </w:p>
        </w:tc>
        <w:tc>
          <w:tcPr>
            <w:tcW w:w="1357" w:type="dxa"/>
          </w:tcPr>
          <w:p>
            <w:pPr>
              <w:widowControl w:val="0"/>
              <w:snapToGrid w:val="0"/>
              <w:ind w:right="-1"/>
            </w:pPr>
          </w:p>
        </w:tc>
        <w:tc>
          <w:tcPr>
            <w:tcW w:w="1419" w:type="dxa"/>
            <w:noWrap/>
          </w:tcPr>
          <w:p>
            <w:pPr>
              <w:widowControl w:val="0"/>
              <w:snapToGrid w:val="0"/>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pPr>
          </w:p>
        </w:tc>
        <w:tc>
          <w:tcPr>
            <w:tcW w:w="3772" w:type="dxa"/>
            <w:noWrap/>
          </w:tcPr>
          <w:p>
            <w:pPr>
              <w:widowControl w:val="0"/>
              <w:snapToGrid w:val="0"/>
              <w:ind w:right="-1"/>
            </w:pPr>
            <w:r>
              <w:t>- улицы, проезды</w:t>
            </w:r>
          </w:p>
        </w:tc>
        <w:tc>
          <w:tcPr>
            <w:tcW w:w="1417" w:type="dxa"/>
            <w:noWrap/>
          </w:tcPr>
          <w:p>
            <w:pPr>
              <w:widowControl w:val="0"/>
              <w:snapToGrid w:val="0"/>
              <w:ind w:right="-1"/>
            </w:pPr>
            <w:r>
              <w:t>га</w:t>
            </w:r>
          </w:p>
        </w:tc>
        <w:tc>
          <w:tcPr>
            <w:tcW w:w="1356" w:type="dxa"/>
            <w:noWrap/>
          </w:tcPr>
          <w:p>
            <w:pPr>
              <w:ind w:right="-1"/>
            </w:pPr>
            <w:r>
              <w:t>46,81</w:t>
            </w:r>
          </w:p>
        </w:tc>
        <w:tc>
          <w:tcPr>
            <w:tcW w:w="1357" w:type="dxa"/>
          </w:tcPr>
          <w:p>
            <w:pPr>
              <w:widowControl w:val="0"/>
              <w:snapToGrid w:val="0"/>
              <w:ind w:right="-1"/>
            </w:pPr>
            <w:r>
              <w:t>81,00</w:t>
            </w:r>
          </w:p>
        </w:tc>
        <w:tc>
          <w:tcPr>
            <w:tcW w:w="1419" w:type="dxa"/>
            <w:noWrap/>
          </w:tcPr>
          <w:p>
            <w:pPr>
              <w:widowControl w:val="0"/>
              <w:snapToGrid w:val="0"/>
              <w:ind w:right="-1"/>
            </w:pPr>
            <w:r>
              <w:t>211,62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87" w:type="dxa"/>
            <w:noWrap/>
          </w:tcPr>
          <w:p>
            <w:pPr>
              <w:ind w:right="-1"/>
            </w:pPr>
          </w:p>
        </w:tc>
        <w:tc>
          <w:tcPr>
            <w:tcW w:w="3772" w:type="dxa"/>
            <w:noWrap/>
          </w:tcPr>
          <w:p>
            <w:pPr>
              <w:widowControl w:val="0"/>
              <w:snapToGrid w:val="0"/>
              <w:ind w:right="-1"/>
            </w:pPr>
            <w:r>
              <w:t>- водозабор</w:t>
            </w:r>
          </w:p>
        </w:tc>
        <w:tc>
          <w:tcPr>
            <w:tcW w:w="1417" w:type="dxa"/>
            <w:noWrap/>
          </w:tcPr>
          <w:p>
            <w:pPr>
              <w:widowControl w:val="0"/>
              <w:snapToGrid w:val="0"/>
              <w:ind w:right="-1"/>
            </w:pPr>
            <w:r>
              <w:t>га</w:t>
            </w:r>
          </w:p>
        </w:tc>
        <w:tc>
          <w:tcPr>
            <w:tcW w:w="1356" w:type="dxa"/>
            <w:noWrap/>
          </w:tcPr>
          <w:p>
            <w:pPr>
              <w:ind w:right="-1"/>
            </w:pPr>
            <w:r>
              <w:t>0,04</w:t>
            </w:r>
          </w:p>
        </w:tc>
        <w:tc>
          <w:tcPr>
            <w:tcW w:w="1357" w:type="dxa"/>
          </w:tcPr>
          <w:p>
            <w:pPr>
              <w:widowControl w:val="0"/>
              <w:snapToGrid w:val="0"/>
              <w:ind w:right="-1"/>
            </w:pPr>
            <w:r>
              <w:t>0,04</w:t>
            </w:r>
          </w:p>
        </w:tc>
        <w:tc>
          <w:tcPr>
            <w:tcW w:w="1419" w:type="dxa"/>
            <w:noWrap/>
          </w:tcPr>
          <w:p>
            <w:pPr>
              <w:widowControl w:val="0"/>
              <w:snapToGrid w:val="0"/>
              <w:ind w:right="-1"/>
            </w:pPr>
            <w: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787" w:type="dxa"/>
            <w:noWrap/>
          </w:tcPr>
          <w:p>
            <w:pPr>
              <w:ind w:right="-1"/>
            </w:pPr>
          </w:p>
        </w:tc>
        <w:tc>
          <w:tcPr>
            <w:tcW w:w="3772" w:type="dxa"/>
            <w:noWrap/>
          </w:tcPr>
          <w:p>
            <w:pPr>
              <w:widowControl w:val="0"/>
              <w:snapToGrid w:val="0"/>
              <w:ind w:right="-1"/>
              <w:rPr>
                <w:b/>
              </w:rPr>
            </w:pPr>
            <w:r>
              <w:rPr>
                <w:b/>
              </w:rPr>
              <w:t>Зона рекреационного назначения</w:t>
            </w:r>
          </w:p>
        </w:tc>
        <w:tc>
          <w:tcPr>
            <w:tcW w:w="1417" w:type="dxa"/>
            <w:noWrap/>
          </w:tcPr>
          <w:p>
            <w:pPr>
              <w:widowControl w:val="0"/>
              <w:snapToGrid w:val="0"/>
              <w:ind w:right="-1"/>
              <w:rPr>
                <w:b/>
              </w:rPr>
            </w:pPr>
            <w:r>
              <w:rPr>
                <w:b/>
              </w:rPr>
              <w:t>га</w:t>
            </w:r>
          </w:p>
        </w:tc>
        <w:tc>
          <w:tcPr>
            <w:tcW w:w="1356" w:type="dxa"/>
            <w:noWrap/>
          </w:tcPr>
          <w:p>
            <w:pPr>
              <w:ind w:right="-1"/>
              <w:rPr>
                <w:b/>
              </w:rPr>
            </w:pPr>
            <w:r>
              <w:rPr>
                <w:b/>
              </w:rPr>
              <w:t>1,77</w:t>
            </w:r>
          </w:p>
        </w:tc>
        <w:tc>
          <w:tcPr>
            <w:tcW w:w="1357" w:type="dxa"/>
          </w:tcPr>
          <w:p>
            <w:pPr>
              <w:widowControl w:val="0"/>
              <w:snapToGrid w:val="0"/>
              <w:ind w:right="-1"/>
              <w:rPr>
                <w:b/>
              </w:rPr>
            </w:pPr>
            <w:r>
              <w:rPr>
                <w:b/>
              </w:rPr>
              <w:t>12,97</w:t>
            </w:r>
          </w:p>
        </w:tc>
        <w:tc>
          <w:tcPr>
            <w:tcW w:w="1419" w:type="dxa"/>
            <w:noWrap/>
          </w:tcPr>
          <w:p>
            <w:pPr>
              <w:widowControl w:val="0"/>
              <w:snapToGrid w:val="0"/>
              <w:ind w:right="-1"/>
              <w:rPr>
                <w:b/>
              </w:rPr>
            </w:pPr>
            <w:r>
              <w:rPr>
                <w:b/>
              </w:rPr>
              <w:t>20,67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pPr>
          </w:p>
        </w:tc>
        <w:tc>
          <w:tcPr>
            <w:tcW w:w="3772" w:type="dxa"/>
            <w:noWrap/>
          </w:tcPr>
          <w:p>
            <w:pPr>
              <w:widowControl w:val="0"/>
              <w:snapToGrid w:val="0"/>
              <w:ind w:right="-1"/>
              <w:rPr>
                <w:b/>
              </w:rPr>
            </w:pPr>
            <w:r>
              <w:t>- зеленые насаждения общего пользования (парки, лесопарки, зоны отдыха, пляжи)</w:t>
            </w:r>
          </w:p>
        </w:tc>
        <w:tc>
          <w:tcPr>
            <w:tcW w:w="1417" w:type="dxa"/>
            <w:noWrap/>
          </w:tcPr>
          <w:p>
            <w:pPr>
              <w:widowControl w:val="0"/>
              <w:snapToGrid w:val="0"/>
              <w:ind w:right="-1"/>
            </w:pPr>
            <w:r>
              <w:t>га</w:t>
            </w:r>
          </w:p>
        </w:tc>
        <w:tc>
          <w:tcPr>
            <w:tcW w:w="1356" w:type="dxa"/>
            <w:noWrap/>
          </w:tcPr>
          <w:p>
            <w:pPr>
              <w:ind w:right="-1"/>
            </w:pPr>
            <w:r>
              <w:t>1,77</w:t>
            </w:r>
          </w:p>
        </w:tc>
        <w:tc>
          <w:tcPr>
            <w:tcW w:w="1357" w:type="dxa"/>
          </w:tcPr>
          <w:p>
            <w:pPr>
              <w:widowControl w:val="0"/>
              <w:snapToGrid w:val="0"/>
              <w:ind w:right="-1"/>
            </w:pPr>
            <w:r>
              <w:t>12,97</w:t>
            </w:r>
          </w:p>
        </w:tc>
        <w:tc>
          <w:tcPr>
            <w:tcW w:w="1419" w:type="dxa"/>
            <w:noWrap/>
          </w:tcPr>
          <w:p>
            <w:pPr>
              <w:widowControl w:val="0"/>
              <w:snapToGrid w:val="0"/>
              <w:ind w:right="-1"/>
            </w:pPr>
            <w:r>
              <w:t>20,67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trPr>
        <w:tc>
          <w:tcPr>
            <w:tcW w:w="787" w:type="dxa"/>
            <w:noWrap/>
          </w:tcPr>
          <w:p>
            <w:pPr>
              <w:ind w:right="-1"/>
            </w:pPr>
          </w:p>
        </w:tc>
        <w:tc>
          <w:tcPr>
            <w:tcW w:w="3772" w:type="dxa"/>
            <w:noWrap/>
          </w:tcPr>
          <w:p>
            <w:pPr>
              <w:snapToGrid w:val="0"/>
              <w:ind w:right="-1"/>
              <w:rPr>
                <w:b/>
              </w:rPr>
            </w:pPr>
            <w:r>
              <w:rPr>
                <w:b/>
              </w:rPr>
              <w:t>Зона земель населенного пункта</w:t>
            </w:r>
            <w:r>
              <w:t>, в том числе сельскохозяйственного использования</w:t>
            </w:r>
          </w:p>
        </w:tc>
        <w:tc>
          <w:tcPr>
            <w:tcW w:w="1417" w:type="dxa"/>
            <w:noWrap/>
          </w:tcPr>
          <w:p>
            <w:pPr>
              <w:widowControl w:val="0"/>
              <w:autoSpaceDE w:val="0"/>
              <w:autoSpaceDN w:val="0"/>
              <w:adjustRightInd w:val="0"/>
              <w:ind w:right="-1"/>
              <w:rPr>
                <w:b/>
                <w:bCs/>
              </w:rPr>
            </w:pPr>
            <w:r>
              <w:rPr>
                <w:b/>
                <w:bCs/>
              </w:rPr>
              <w:t>га</w:t>
            </w:r>
          </w:p>
        </w:tc>
        <w:tc>
          <w:tcPr>
            <w:tcW w:w="1356" w:type="dxa"/>
            <w:noWrap/>
          </w:tcPr>
          <w:p>
            <w:pPr>
              <w:ind w:right="-1"/>
              <w:rPr>
                <w:b/>
              </w:rPr>
            </w:pPr>
            <w:r>
              <w:rPr>
                <w:b/>
              </w:rPr>
              <w:t>94,19</w:t>
            </w:r>
          </w:p>
        </w:tc>
        <w:tc>
          <w:tcPr>
            <w:tcW w:w="1357" w:type="dxa"/>
          </w:tcPr>
          <w:p>
            <w:pPr>
              <w:spacing w:line="200" w:lineRule="atLeast"/>
              <w:rPr>
                <w:b/>
                <w:bCs/>
              </w:rPr>
            </w:pPr>
            <w:r>
              <w:rPr>
                <w:b/>
                <w:bCs/>
              </w:rPr>
              <w:t>71,40</w:t>
            </w:r>
          </w:p>
        </w:tc>
        <w:tc>
          <w:tcPr>
            <w:tcW w:w="1419" w:type="dxa"/>
            <w:noWrap/>
          </w:tcPr>
          <w:p>
            <w:pPr>
              <w:widowControl w:val="0"/>
              <w:snapToGrid w:val="0"/>
              <w:ind w:right="-1"/>
              <w:rPr>
                <w:b/>
              </w:rPr>
            </w:pPr>
            <w:r>
              <w:rPr>
                <w:b/>
              </w:rPr>
              <w:t>188,14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napToGrid w:val="0"/>
              <w:ind w:right="-1"/>
              <w:rPr>
                <w:b/>
              </w:rPr>
            </w:pPr>
            <w:r>
              <w:t>- резервная жилая застройка</w:t>
            </w:r>
          </w:p>
        </w:tc>
        <w:tc>
          <w:tcPr>
            <w:tcW w:w="1417" w:type="dxa"/>
            <w:noWrap/>
          </w:tcPr>
          <w:p>
            <w:pPr>
              <w:widowControl w:val="0"/>
              <w:autoSpaceDE w:val="0"/>
              <w:autoSpaceDN w:val="0"/>
              <w:adjustRightInd w:val="0"/>
              <w:ind w:right="-1"/>
              <w:rPr>
                <w:b/>
                <w:bCs/>
              </w:rPr>
            </w:pPr>
            <w:r>
              <w:t>га</w:t>
            </w:r>
          </w:p>
        </w:tc>
        <w:tc>
          <w:tcPr>
            <w:tcW w:w="1356" w:type="dxa"/>
            <w:noWrap/>
          </w:tcPr>
          <w:p>
            <w:pPr>
              <w:ind w:right="-1"/>
            </w:pPr>
            <w:r>
              <w:t>-</w:t>
            </w:r>
          </w:p>
        </w:tc>
        <w:tc>
          <w:tcPr>
            <w:tcW w:w="1357" w:type="dxa"/>
          </w:tcPr>
          <w:p>
            <w:pPr>
              <w:spacing w:line="200" w:lineRule="atLeast"/>
              <w:rPr>
                <w:bCs/>
              </w:rPr>
            </w:pPr>
            <w:r>
              <w:rPr>
                <w:bCs/>
              </w:rPr>
              <w:t>17,96</w:t>
            </w:r>
          </w:p>
        </w:tc>
        <w:tc>
          <w:tcPr>
            <w:tcW w:w="1419" w:type="dxa"/>
            <w:noWrap/>
          </w:tcPr>
          <w:p>
            <w:pPr>
              <w:widowControl w:val="0"/>
              <w:snapToGrid w:val="0"/>
              <w:ind w:right="-1"/>
            </w:pPr>
            <w:r>
              <w:t>135,10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napToGrid w:val="0"/>
              <w:ind w:right="-1"/>
              <w:rPr>
                <w:b/>
              </w:rPr>
            </w:pPr>
            <w:r>
              <w:t>- резервная производственная территория</w:t>
            </w:r>
          </w:p>
        </w:tc>
        <w:tc>
          <w:tcPr>
            <w:tcW w:w="1417" w:type="dxa"/>
            <w:noWrap/>
          </w:tcPr>
          <w:p>
            <w:pPr>
              <w:widowControl w:val="0"/>
              <w:autoSpaceDE w:val="0"/>
              <w:autoSpaceDN w:val="0"/>
              <w:adjustRightInd w:val="0"/>
              <w:ind w:right="-1"/>
              <w:rPr>
                <w:b/>
                <w:bCs/>
              </w:rPr>
            </w:pPr>
            <w:r>
              <w:t>га</w:t>
            </w:r>
          </w:p>
        </w:tc>
        <w:tc>
          <w:tcPr>
            <w:tcW w:w="1356" w:type="dxa"/>
            <w:noWrap/>
          </w:tcPr>
          <w:p>
            <w:pPr>
              <w:ind w:right="-1"/>
            </w:pPr>
            <w:r>
              <w:t>-</w:t>
            </w:r>
          </w:p>
        </w:tc>
        <w:tc>
          <w:tcPr>
            <w:tcW w:w="1357" w:type="dxa"/>
          </w:tcPr>
          <w:p>
            <w:pPr>
              <w:spacing w:line="200" w:lineRule="atLeast"/>
              <w:rPr>
                <w:bCs/>
              </w:rPr>
            </w:pPr>
            <w:r>
              <w:rPr>
                <w:bCs/>
              </w:rPr>
              <w:t>18,28</w:t>
            </w:r>
          </w:p>
        </w:tc>
        <w:tc>
          <w:tcPr>
            <w:tcW w:w="1419" w:type="dxa"/>
            <w:noWrap/>
          </w:tcPr>
          <w:p>
            <w:pPr>
              <w:widowControl w:val="0"/>
              <w:snapToGrid w:val="0"/>
              <w:ind w:right="-1"/>
            </w:pPr>
            <w:r>
              <w:t>18,28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widowControl w:val="0"/>
              <w:autoSpaceDE w:val="0"/>
              <w:autoSpaceDN w:val="0"/>
              <w:adjustRightInd w:val="0"/>
              <w:ind w:right="-1"/>
              <w:rPr>
                <w:b/>
                <w:bCs/>
              </w:rPr>
            </w:pPr>
            <w:r>
              <w:rPr>
                <w:b/>
                <w:bCs/>
              </w:rPr>
              <w:t>Зона специального назначения</w:t>
            </w:r>
          </w:p>
        </w:tc>
        <w:tc>
          <w:tcPr>
            <w:tcW w:w="1417" w:type="dxa"/>
            <w:noWrap/>
          </w:tcPr>
          <w:p>
            <w:pPr>
              <w:widowControl w:val="0"/>
              <w:autoSpaceDE w:val="0"/>
              <w:autoSpaceDN w:val="0"/>
              <w:adjustRightInd w:val="0"/>
              <w:ind w:right="-1"/>
              <w:rPr>
                <w:b/>
                <w:bCs/>
              </w:rPr>
            </w:pPr>
            <w:r>
              <w:rPr>
                <w:b/>
                <w:bCs/>
              </w:rPr>
              <w:t>га</w:t>
            </w:r>
          </w:p>
        </w:tc>
        <w:tc>
          <w:tcPr>
            <w:tcW w:w="1356" w:type="dxa"/>
            <w:noWrap/>
          </w:tcPr>
          <w:p>
            <w:pPr>
              <w:ind w:right="-1"/>
              <w:rPr>
                <w:b/>
              </w:rPr>
            </w:pPr>
            <w:r>
              <w:rPr>
                <w:b/>
              </w:rPr>
              <w:t>2,50</w:t>
            </w:r>
          </w:p>
        </w:tc>
        <w:tc>
          <w:tcPr>
            <w:tcW w:w="1357" w:type="dxa"/>
          </w:tcPr>
          <w:p>
            <w:pPr>
              <w:spacing w:line="200" w:lineRule="atLeast"/>
              <w:rPr>
                <w:b/>
                <w:bCs/>
              </w:rPr>
            </w:pPr>
            <w:r>
              <w:rPr>
                <w:b/>
                <w:bCs/>
              </w:rPr>
              <w:t>8,62</w:t>
            </w:r>
          </w:p>
        </w:tc>
        <w:tc>
          <w:tcPr>
            <w:tcW w:w="1419" w:type="dxa"/>
            <w:noWrap/>
          </w:tcPr>
          <w:p>
            <w:pPr>
              <w:widowControl w:val="0"/>
              <w:snapToGrid w:val="0"/>
              <w:ind w:right="-1"/>
              <w:rPr>
                <w:b/>
              </w:rPr>
            </w:pPr>
            <w:r>
              <w:rPr>
                <w:b/>
              </w:rPr>
              <w:t>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widowControl w:val="0"/>
              <w:snapToGrid w:val="0"/>
              <w:ind w:right="-1"/>
            </w:pPr>
            <w:r>
              <w:t xml:space="preserve">в том числе </w:t>
            </w:r>
          </w:p>
        </w:tc>
        <w:tc>
          <w:tcPr>
            <w:tcW w:w="1417" w:type="dxa"/>
            <w:noWrap/>
          </w:tcPr>
          <w:p>
            <w:pPr>
              <w:spacing w:line="200" w:lineRule="atLeast"/>
            </w:pPr>
          </w:p>
        </w:tc>
        <w:tc>
          <w:tcPr>
            <w:tcW w:w="1356" w:type="dxa"/>
            <w:noWrap/>
          </w:tcPr>
          <w:p>
            <w:pPr>
              <w:ind w:right="-1"/>
            </w:pPr>
          </w:p>
        </w:tc>
        <w:tc>
          <w:tcPr>
            <w:tcW w:w="1357" w:type="dxa"/>
          </w:tcPr>
          <w:p>
            <w:pPr>
              <w:spacing w:line="200" w:lineRule="atLeast"/>
            </w:pPr>
          </w:p>
        </w:tc>
        <w:tc>
          <w:tcPr>
            <w:tcW w:w="1419" w:type="dxa"/>
            <w:noWrap/>
          </w:tcPr>
          <w:p>
            <w:pPr>
              <w:widowControl w:val="0"/>
              <w:snapToGrid w:val="0"/>
              <w:ind w:right="-1"/>
              <w:rPr>
                <w:b/>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pacing w:line="200" w:lineRule="atLeast"/>
            </w:pPr>
            <w:r>
              <w:t>- территория объектов ритуальных услуг</w:t>
            </w:r>
          </w:p>
        </w:tc>
        <w:tc>
          <w:tcPr>
            <w:tcW w:w="1417" w:type="dxa"/>
            <w:noWrap/>
          </w:tcPr>
          <w:p>
            <w:pPr>
              <w:spacing w:line="200" w:lineRule="atLeast"/>
            </w:pPr>
            <w:r>
              <w:t>га</w:t>
            </w:r>
          </w:p>
        </w:tc>
        <w:tc>
          <w:tcPr>
            <w:tcW w:w="1356" w:type="dxa"/>
            <w:noWrap/>
          </w:tcPr>
          <w:p>
            <w:pPr>
              <w:ind w:right="-1"/>
            </w:pPr>
            <w:r>
              <w:t>-</w:t>
            </w:r>
          </w:p>
        </w:tc>
        <w:tc>
          <w:tcPr>
            <w:tcW w:w="1357" w:type="dxa"/>
          </w:tcPr>
          <w:p>
            <w:pPr>
              <w:spacing w:line="200" w:lineRule="atLeast"/>
            </w:pPr>
            <w:r>
              <w:t>0,55</w:t>
            </w:r>
          </w:p>
        </w:tc>
        <w:tc>
          <w:tcPr>
            <w:tcW w:w="1419" w:type="dxa"/>
            <w:noWrap/>
          </w:tcPr>
          <w:p>
            <w:pPr>
              <w:widowControl w:val="0"/>
              <w:snapToGrid w:val="0"/>
              <w:ind w:right="-1"/>
              <w:rPr>
                <w:highlight w:val="yellow"/>
              </w:rPr>
            </w:pPr>
            <w: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pacing w:line="200" w:lineRule="atLeast"/>
            </w:pPr>
            <w:r>
              <w:t>- кладбище традиционного захоронения существующее</w:t>
            </w:r>
          </w:p>
        </w:tc>
        <w:tc>
          <w:tcPr>
            <w:tcW w:w="1417" w:type="dxa"/>
            <w:noWrap/>
          </w:tcPr>
          <w:p>
            <w:pPr>
              <w:widowControl w:val="0"/>
              <w:snapToGrid w:val="0"/>
              <w:ind w:right="-1"/>
              <w:rPr>
                <w:b/>
              </w:rPr>
            </w:pPr>
            <w:r>
              <w:t>га</w:t>
            </w:r>
          </w:p>
        </w:tc>
        <w:tc>
          <w:tcPr>
            <w:tcW w:w="1356" w:type="dxa"/>
            <w:noWrap/>
          </w:tcPr>
          <w:p>
            <w:pPr>
              <w:ind w:right="-1"/>
            </w:pPr>
            <w:r>
              <w:t>2,50</w:t>
            </w:r>
          </w:p>
        </w:tc>
        <w:tc>
          <w:tcPr>
            <w:tcW w:w="1357" w:type="dxa"/>
          </w:tcPr>
          <w:p>
            <w:pPr>
              <w:widowControl w:val="0"/>
              <w:snapToGrid w:val="0"/>
              <w:ind w:right="-1"/>
            </w:pPr>
            <w:r>
              <w:t>2,50</w:t>
            </w:r>
          </w:p>
        </w:tc>
        <w:tc>
          <w:tcPr>
            <w:tcW w:w="1419" w:type="dxa"/>
            <w:noWrap/>
          </w:tcPr>
          <w:p>
            <w:pPr>
              <w:widowControl w:val="0"/>
              <w:snapToGrid w:val="0"/>
              <w:ind w:right="-1"/>
            </w:pPr>
            <w: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pacing w:line="200" w:lineRule="atLeast"/>
            </w:pPr>
            <w:r>
              <w:t>- кладбище традиционного захоронения проектируемое</w:t>
            </w:r>
          </w:p>
        </w:tc>
        <w:tc>
          <w:tcPr>
            <w:tcW w:w="1417" w:type="dxa"/>
            <w:noWrap/>
          </w:tcPr>
          <w:p>
            <w:pPr>
              <w:widowControl w:val="0"/>
              <w:snapToGrid w:val="0"/>
              <w:ind w:right="-1"/>
              <w:rPr>
                <w:b/>
              </w:rPr>
            </w:pPr>
            <w:r>
              <w:t>га</w:t>
            </w:r>
          </w:p>
        </w:tc>
        <w:tc>
          <w:tcPr>
            <w:tcW w:w="1356" w:type="dxa"/>
            <w:noWrap/>
          </w:tcPr>
          <w:p>
            <w:pPr>
              <w:ind w:right="-1"/>
            </w:pPr>
            <w:r>
              <w:t>-</w:t>
            </w:r>
          </w:p>
        </w:tc>
        <w:tc>
          <w:tcPr>
            <w:tcW w:w="1357" w:type="dxa"/>
          </w:tcPr>
          <w:p>
            <w:pPr>
              <w:widowControl w:val="0"/>
              <w:snapToGrid w:val="0"/>
              <w:ind w:right="-1"/>
            </w:pPr>
            <w:r>
              <w:t>5,57</w:t>
            </w:r>
          </w:p>
        </w:tc>
        <w:tc>
          <w:tcPr>
            <w:tcW w:w="1419" w:type="dxa"/>
            <w:noWrap/>
          </w:tcPr>
          <w:p>
            <w:pPr>
              <w:widowControl w:val="0"/>
              <w:snapToGrid w:val="0"/>
              <w:ind w:right="-1"/>
            </w:pPr>
            <w:r>
              <w:t>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p>
        </w:tc>
        <w:tc>
          <w:tcPr>
            <w:tcW w:w="3772" w:type="dxa"/>
            <w:noWrap/>
          </w:tcPr>
          <w:p>
            <w:pPr>
              <w:spacing w:line="200" w:lineRule="atLeast"/>
            </w:pPr>
          </w:p>
        </w:tc>
        <w:tc>
          <w:tcPr>
            <w:tcW w:w="1417" w:type="dxa"/>
            <w:noWrap/>
          </w:tcPr>
          <w:p>
            <w:pPr>
              <w:widowControl w:val="0"/>
              <w:snapToGrid w:val="0"/>
              <w:ind w:right="-1"/>
            </w:pPr>
          </w:p>
        </w:tc>
        <w:tc>
          <w:tcPr>
            <w:tcW w:w="1356" w:type="dxa"/>
            <w:noWrap/>
          </w:tcPr>
          <w:p>
            <w:pPr>
              <w:ind w:right="-1"/>
            </w:pPr>
          </w:p>
        </w:tc>
        <w:tc>
          <w:tcPr>
            <w:tcW w:w="1357" w:type="dxa"/>
          </w:tcPr>
          <w:p>
            <w:pPr>
              <w:widowControl w:val="0"/>
              <w:snapToGrid w:val="0"/>
              <w:ind w:right="-1"/>
            </w:pPr>
          </w:p>
        </w:tc>
        <w:tc>
          <w:tcPr>
            <w:tcW w:w="1419" w:type="dxa"/>
            <w:noWrap/>
          </w:tcPr>
          <w:p>
            <w:pPr>
              <w:widowControl w:val="0"/>
              <w:snapToGrid w:val="0"/>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7" w:type="dxa"/>
            <w:noWrap/>
          </w:tcPr>
          <w:p>
            <w:pPr>
              <w:ind w:right="-1"/>
              <w:rPr>
                <w:b/>
                <w:bCs/>
              </w:rPr>
            </w:pPr>
            <w:r>
              <w:rPr>
                <w:b/>
                <w:bCs/>
              </w:rPr>
              <w:t>2.</w:t>
            </w:r>
          </w:p>
        </w:tc>
        <w:tc>
          <w:tcPr>
            <w:tcW w:w="3772" w:type="dxa"/>
            <w:noWrap/>
          </w:tcPr>
          <w:p>
            <w:pPr>
              <w:ind w:right="-1"/>
              <w:rPr>
                <w:b/>
                <w:bCs/>
              </w:rPr>
            </w:pPr>
            <w:r>
              <w:rPr>
                <w:b/>
                <w:bCs/>
              </w:rPr>
              <w:t>Население</w:t>
            </w:r>
          </w:p>
        </w:tc>
        <w:tc>
          <w:tcPr>
            <w:tcW w:w="1417" w:type="dxa"/>
            <w:noWrap/>
          </w:tcPr>
          <w:p>
            <w:pPr>
              <w:ind w:right="-1" w:firstLine="33"/>
              <w:rPr>
                <w:highlight w:val="yellow"/>
              </w:rPr>
            </w:pPr>
          </w:p>
        </w:tc>
        <w:tc>
          <w:tcPr>
            <w:tcW w:w="2713" w:type="dxa"/>
            <w:gridSpan w:val="2"/>
            <w:noWrap/>
          </w:tcPr>
          <w:p>
            <w:pPr>
              <w:ind w:right="-1"/>
              <w:rPr>
                <w:highlight w:val="yellow"/>
              </w:rPr>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787" w:type="dxa"/>
            <w:noWrap/>
          </w:tcPr>
          <w:p>
            <w:pPr>
              <w:ind w:right="-1"/>
              <w:rPr>
                <w:bCs/>
              </w:rPr>
            </w:pPr>
            <w:r>
              <w:rPr>
                <w:bCs/>
              </w:rPr>
              <w:t>2.1.</w:t>
            </w:r>
          </w:p>
        </w:tc>
        <w:tc>
          <w:tcPr>
            <w:tcW w:w="3772" w:type="dxa"/>
            <w:noWrap/>
          </w:tcPr>
          <w:p>
            <w:pPr>
              <w:ind w:right="-1"/>
            </w:pPr>
            <w:r>
              <w:t xml:space="preserve">Численность населения </w:t>
            </w:r>
          </w:p>
        </w:tc>
        <w:tc>
          <w:tcPr>
            <w:tcW w:w="1417" w:type="dxa"/>
            <w:noWrap/>
          </w:tcPr>
          <w:p>
            <w:pPr>
              <w:ind w:right="-1" w:firstLine="33"/>
            </w:pPr>
            <w:r>
              <w:t>чел.</w:t>
            </w:r>
          </w:p>
        </w:tc>
        <w:tc>
          <w:tcPr>
            <w:tcW w:w="2713" w:type="dxa"/>
            <w:gridSpan w:val="2"/>
            <w:noWrap/>
          </w:tcPr>
          <w:p>
            <w:pPr>
              <w:ind w:right="-1"/>
            </w:pPr>
            <w:r>
              <w:t>2071</w:t>
            </w:r>
          </w:p>
        </w:tc>
        <w:tc>
          <w:tcPr>
            <w:tcW w:w="1419" w:type="dxa"/>
            <w:noWrap/>
          </w:tcPr>
          <w:p>
            <w:pPr>
              <w:ind w:right="-1"/>
            </w:pPr>
            <w:r>
              <w:rPr>
                <w:rFonts w:eastAsia="Times New Roman"/>
                <w:bCs/>
                <w:kern w:val="0"/>
                <w:lang w:eastAsia="ru-RU"/>
              </w:rPr>
              <w:t>2477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87" w:type="dxa"/>
            <w:noWrap/>
          </w:tcPr>
          <w:p>
            <w:pPr>
              <w:ind w:right="-1"/>
            </w:pPr>
          </w:p>
        </w:tc>
        <w:tc>
          <w:tcPr>
            <w:tcW w:w="3772" w:type="dxa"/>
          </w:tcPr>
          <w:p>
            <w:pPr>
              <w:ind w:right="-1"/>
            </w:pPr>
            <w:r>
              <w:t>Возрастная структура населения:</w:t>
            </w:r>
          </w:p>
        </w:tc>
        <w:tc>
          <w:tcPr>
            <w:tcW w:w="1417" w:type="dxa"/>
            <w:noWrap/>
          </w:tcPr>
          <w:p>
            <w:pPr>
              <w:ind w:right="-1" w:firstLine="33"/>
              <w:rPr>
                <w:highlight w:val="yellow"/>
              </w:rPr>
            </w:pPr>
          </w:p>
        </w:tc>
        <w:tc>
          <w:tcPr>
            <w:tcW w:w="2713" w:type="dxa"/>
            <w:gridSpan w:val="2"/>
            <w:noWrap/>
          </w:tcPr>
          <w:p>
            <w:pPr>
              <w:ind w:right="-1"/>
              <w:rPr>
                <w:highlight w:val="yellow"/>
              </w:rPr>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87" w:type="dxa"/>
            <w:noWrap/>
          </w:tcPr>
          <w:p>
            <w:pPr>
              <w:ind w:right="-1"/>
            </w:pPr>
            <w:r>
              <w:t>2.2</w:t>
            </w:r>
          </w:p>
        </w:tc>
        <w:tc>
          <w:tcPr>
            <w:tcW w:w="3772" w:type="dxa"/>
            <w:noWrap/>
          </w:tcPr>
          <w:p>
            <w:r>
              <w:t>- дети до 15 лет</w:t>
            </w:r>
          </w:p>
        </w:tc>
        <w:tc>
          <w:tcPr>
            <w:tcW w:w="1417" w:type="dxa"/>
            <w:noWrap/>
          </w:tcPr>
          <w:p>
            <w:pPr>
              <w:ind w:right="-1" w:firstLine="33"/>
            </w:pPr>
            <w:r>
              <w:t>тыс. чел./%</w:t>
            </w:r>
          </w:p>
        </w:tc>
        <w:tc>
          <w:tcPr>
            <w:tcW w:w="2713" w:type="dxa"/>
            <w:gridSpan w:val="2"/>
            <w:noWrap/>
          </w:tcPr>
          <w:p>
            <w:pPr>
              <w:ind w:right="-1"/>
              <w:rPr>
                <w:highlight w:val="yellow"/>
              </w:rPr>
            </w:pPr>
            <w:r>
              <w:t>0,39/17,5</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87" w:type="dxa"/>
            <w:noWrap/>
          </w:tcPr>
          <w:p>
            <w:pPr>
              <w:ind w:right="-1"/>
            </w:pPr>
          </w:p>
        </w:tc>
        <w:tc>
          <w:tcPr>
            <w:tcW w:w="3772" w:type="dxa"/>
            <w:noWrap/>
          </w:tcPr>
          <w:p>
            <w:r>
              <w:t>- население в трудоспособном возрасте:</w:t>
            </w:r>
          </w:p>
          <w:p>
            <w:r>
              <w:t>- мужчины 16 – 59 лет</w:t>
            </w:r>
          </w:p>
        </w:tc>
        <w:tc>
          <w:tcPr>
            <w:tcW w:w="1417" w:type="dxa"/>
            <w:noWrap/>
          </w:tcPr>
          <w:p>
            <w:pPr>
              <w:ind w:right="-1" w:firstLine="33"/>
            </w:pPr>
            <w:r>
              <w:t>тыс. чел./%</w:t>
            </w:r>
          </w:p>
        </w:tc>
        <w:tc>
          <w:tcPr>
            <w:tcW w:w="2713" w:type="dxa"/>
            <w:gridSpan w:val="2"/>
            <w:noWrap/>
          </w:tcPr>
          <w:p>
            <w:pPr>
              <w:ind w:right="-1"/>
              <w:rPr>
                <w:highlight w:val="yellow"/>
              </w:rPr>
            </w:pPr>
            <w:r>
              <w:t>0,64/28,3</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7" w:type="dxa"/>
            <w:noWrap/>
          </w:tcPr>
          <w:p>
            <w:pPr>
              <w:ind w:right="-1"/>
            </w:pPr>
          </w:p>
        </w:tc>
        <w:tc>
          <w:tcPr>
            <w:tcW w:w="3772" w:type="dxa"/>
            <w:noWrap/>
          </w:tcPr>
          <w:p>
            <w:r>
              <w:t>- женщины 16 – 54 лет</w:t>
            </w:r>
          </w:p>
        </w:tc>
        <w:tc>
          <w:tcPr>
            <w:tcW w:w="1417" w:type="dxa"/>
            <w:noWrap/>
          </w:tcPr>
          <w:p>
            <w:pPr>
              <w:ind w:right="-1" w:firstLine="33"/>
            </w:pPr>
          </w:p>
        </w:tc>
        <w:tc>
          <w:tcPr>
            <w:tcW w:w="2713" w:type="dxa"/>
            <w:gridSpan w:val="2"/>
            <w:noWrap/>
          </w:tcPr>
          <w:p>
            <w:pPr>
              <w:ind w:right="-1"/>
              <w:rPr>
                <w:highlight w:val="yellow"/>
              </w:rPr>
            </w:pPr>
            <w:r>
              <w:t>0,59/26,1</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787" w:type="dxa"/>
            <w:noWrap/>
          </w:tcPr>
          <w:p>
            <w:pPr>
              <w:ind w:right="-1"/>
            </w:pPr>
          </w:p>
        </w:tc>
        <w:tc>
          <w:tcPr>
            <w:tcW w:w="3772" w:type="dxa"/>
          </w:tcPr>
          <w:p>
            <w:r>
              <w:t xml:space="preserve">- население старше трудоспособного </w:t>
            </w:r>
          </w:p>
          <w:p>
            <w:r>
              <w:t>возраста</w:t>
            </w:r>
          </w:p>
        </w:tc>
        <w:tc>
          <w:tcPr>
            <w:tcW w:w="1417" w:type="dxa"/>
            <w:noWrap/>
          </w:tcPr>
          <w:p>
            <w:pPr>
              <w:ind w:right="-1" w:firstLine="33"/>
            </w:pPr>
            <w:r>
              <w:t>тыс. чел./%</w:t>
            </w:r>
          </w:p>
        </w:tc>
        <w:tc>
          <w:tcPr>
            <w:tcW w:w="2713" w:type="dxa"/>
            <w:gridSpan w:val="2"/>
            <w:noWrap/>
          </w:tcPr>
          <w:p>
            <w:pPr>
              <w:ind w:right="-1"/>
              <w:rPr>
                <w:highlight w:val="yellow"/>
              </w:rPr>
            </w:pPr>
            <w:r>
              <w:t>0,63/28,1</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87" w:type="dxa"/>
            <w:noWrap/>
          </w:tcPr>
          <w:p>
            <w:pPr>
              <w:ind w:right="-1"/>
            </w:pPr>
            <w:r>
              <w:rPr>
                <w:b/>
                <w:bCs/>
              </w:rPr>
              <w:t>3.</w:t>
            </w:r>
          </w:p>
        </w:tc>
        <w:tc>
          <w:tcPr>
            <w:tcW w:w="3772" w:type="dxa"/>
          </w:tcPr>
          <w:p>
            <w:pPr>
              <w:ind w:right="-1"/>
              <w:rPr>
                <w:b/>
                <w:bCs/>
              </w:rPr>
            </w:pPr>
            <w:r>
              <w:rPr>
                <w:b/>
                <w:bCs/>
              </w:rPr>
              <w:t>Жилищный фонд</w:t>
            </w:r>
          </w:p>
        </w:tc>
        <w:tc>
          <w:tcPr>
            <w:tcW w:w="1417" w:type="dxa"/>
            <w:noWrap/>
          </w:tcPr>
          <w:p>
            <w:pPr>
              <w:ind w:right="-1" w:firstLine="33"/>
            </w:pPr>
          </w:p>
        </w:tc>
        <w:tc>
          <w:tcPr>
            <w:tcW w:w="2713" w:type="dxa"/>
            <w:gridSpan w:val="2"/>
            <w:noWrap/>
          </w:tcPr>
          <w:p>
            <w:pPr>
              <w:ind w:right="-1"/>
              <w:rPr>
                <w:highlight w:val="yellow"/>
              </w:rPr>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87" w:type="dxa"/>
            <w:noWrap/>
          </w:tcPr>
          <w:p>
            <w:pPr>
              <w:ind w:right="-1"/>
              <w:rPr>
                <w:b/>
                <w:bCs/>
              </w:rPr>
            </w:pPr>
            <w:r>
              <w:t>3.1.</w:t>
            </w:r>
          </w:p>
        </w:tc>
        <w:tc>
          <w:tcPr>
            <w:tcW w:w="3772" w:type="dxa"/>
            <w:noWrap/>
          </w:tcPr>
          <w:p>
            <w:pPr>
              <w:ind w:right="-1"/>
            </w:pPr>
            <w:r>
              <w:t>Жилищный фонд – всего</w:t>
            </w:r>
          </w:p>
        </w:tc>
        <w:tc>
          <w:tcPr>
            <w:tcW w:w="1417" w:type="dxa"/>
            <w:noWrap/>
          </w:tcPr>
          <w:p>
            <w:pPr>
              <w:ind w:right="-1" w:firstLine="33"/>
              <w:rPr>
                <w:vertAlign w:val="superscript"/>
              </w:rPr>
            </w:pPr>
            <w:r>
              <w:t>тыс. м</w:t>
            </w:r>
            <w:r>
              <w:rPr>
                <w:vertAlign w:val="superscript"/>
              </w:rPr>
              <w:t>2</w:t>
            </w:r>
          </w:p>
        </w:tc>
        <w:tc>
          <w:tcPr>
            <w:tcW w:w="2713" w:type="dxa"/>
            <w:gridSpan w:val="2"/>
            <w:noWrap/>
          </w:tcPr>
          <w:p>
            <w:pPr>
              <w:ind w:right="-1"/>
              <w:rPr>
                <w:highlight w:val="yellow"/>
              </w:rPr>
            </w:pPr>
            <w:r>
              <w:t>39,90</w:t>
            </w:r>
          </w:p>
        </w:tc>
        <w:tc>
          <w:tcPr>
            <w:tcW w:w="1419" w:type="dxa"/>
            <w:noWrap/>
          </w:tcPr>
          <w:p>
            <w:pPr>
              <w:ind w:right="-1"/>
              <w:rPr>
                <w:highlight w:val="yellow"/>
              </w:rPr>
            </w:pPr>
            <w:r>
              <w:t>59,46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787" w:type="dxa"/>
            <w:noWrap/>
          </w:tcPr>
          <w:p>
            <w:pPr>
              <w:ind w:right="-1"/>
            </w:pPr>
            <w:r>
              <w:t>3.2.</w:t>
            </w:r>
          </w:p>
        </w:tc>
        <w:tc>
          <w:tcPr>
            <w:tcW w:w="3772" w:type="dxa"/>
          </w:tcPr>
          <w:p>
            <w:pPr>
              <w:ind w:right="-1"/>
            </w:pPr>
            <w:r>
              <w:t>Жилищный фонд с износом более 65%</w:t>
            </w:r>
          </w:p>
        </w:tc>
        <w:tc>
          <w:tcPr>
            <w:tcW w:w="1417" w:type="dxa"/>
            <w:noWrap/>
          </w:tcPr>
          <w:p>
            <w:pPr>
              <w:ind w:right="-1" w:firstLine="33"/>
            </w:pPr>
            <w:r>
              <w:t>тыс. м</w:t>
            </w:r>
            <w:r>
              <w:rPr>
                <w:vertAlign w:val="superscript"/>
              </w:rPr>
              <w:t>2</w:t>
            </w:r>
          </w:p>
        </w:tc>
        <w:tc>
          <w:tcPr>
            <w:tcW w:w="2713" w:type="dxa"/>
            <w:gridSpan w:val="2"/>
            <w:noWrap/>
          </w:tcPr>
          <w:p>
            <w:pPr>
              <w:ind w:right="-1"/>
              <w:rPr>
                <w:highlight w:val="yellow"/>
              </w:rPr>
            </w:pPr>
            <w:r>
              <w:t>2,50</w:t>
            </w:r>
          </w:p>
        </w:tc>
        <w:tc>
          <w:tcPr>
            <w:tcW w:w="1419" w:type="dxa"/>
            <w:noWrap/>
          </w:tcPr>
          <w:p>
            <w:pPr>
              <w:ind w:right="-1"/>
              <w:rPr>
                <w:highlight w:val="yellow"/>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7" w:type="dxa"/>
            <w:noWrap/>
          </w:tcPr>
          <w:p>
            <w:pPr>
              <w:ind w:right="-1"/>
            </w:pPr>
            <w:r>
              <w:t>3.3.</w:t>
            </w:r>
          </w:p>
        </w:tc>
        <w:tc>
          <w:tcPr>
            <w:tcW w:w="3772" w:type="dxa"/>
            <w:noWrap/>
          </w:tcPr>
          <w:p>
            <w:pPr>
              <w:ind w:right="-1"/>
            </w:pPr>
            <w:r>
              <w:t>Новое жилищное строительство – всего</w:t>
            </w:r>
          </w:p>
        </w:tc>
        <w:tc>
          <w:tcPr>
            <w:tcW w:w="1417" w:type="dxa"/>
            <w:noWrap/>
          </w:tcPr>
          <w:p>
            <w:pPr>
              <w:ind w:right="-1" w:firstLine="33"/>
            </w:pPr>
            <w:r>
              <w:t>тыс. м</w:t>
            </w:r>
            <w:r>
              <w:rPr>
                <w:vertAlign w:val="superscript"/>
              </w:rPr>
              <w:t>2</w:t>
            </w:r>
          </w:p>
        </w:tc>
        <w:tc>
          <w:tcPr>
            <w:tcW w:w="2713" w:type="dxa"/>
            <w:gridSpan w:val="2"/>
            <w:noWrap/>
          </w:tcPr>
          <w:p>
            <w:pPr>
              <w:ind w:right="-1"/>
              <w:rPr>
                <w:highlight w:val="yellow"/>
              </w:rPr>
            </w:pPr>
            <w:r>
              <w:t>-</w:t>
            </w:r>
          </w:p>
        </w:tc>
        <w:tc>
          <w:tcPr>
            <w:tcW w:w="1419" w:type="dxa"/>
            <w:noWrap/>
          </w:tcPr>
          <w:p>
            <w:pPr>
              <w:ind w:right="-1"/>
              <w:rPr>
                <w:highlight w:val="yellow"/>
              </w:rPr>
            </w:pPr>
            <w: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787" w:type="dxa"/>
            <w:noWrap/>
          </w:tcPr>
          <w:p>
            <w:pPr>
              <w:ind w:right="-1"/>
            </w:pPr>
            <w:r>
              <w:t>3.4.</w:t>
            </w:r>
          </w:p>
        </w:tc>
        <w:tc>
          <w:tcPr>
            <w:tcW w:w="3772" w:type="dxa"/>
          </w:tcPr>
          <w:p>
            <w:pPr>
              <w:ind w:right="-1"/>
            </w:pPr>
            <w:r>
              <w:t>Обеспеченность жилищным фондом</w:t>
            </w:r>
          </w:p>
        </w:tc>
        <w:tc>
          <w:tcPr>
            <w:tcW w:w="1417" w:type="dxa"/>
            <w:noWrap/>
          </w:tcPr>
          <w:p>
            <w:pPr>
              <w:ind w:right="-1" w:firstLine="33"/>
            </w:pPr>
            <w:r>
              <w:t>м</w:t>
            </w:r>
            <w:r>
              <w:rPr>
                <w:vertAlign w:val="superscript"/>
              </w:rPr>
              <w:t>2</w:t>
            </w:r>
            <w:r>
              <w:t>/чел.</w:t>
            </w:r>
          </w:p>
        </w:tc>
        <w:tc>
          <w:tcPr>
            <w:tcW w:w="2713" w:type="dxa"/>
            <w:gridSpan w:val="2"/>
            <w:noWrap/>
          </w:tcPr>
          <w:p>
            <w:pPr>
              <w:ind w:right="-1"/>
              <w:rPr>
                <w:highlight w:val="yellow"/>
              </w:rPr>
            </w:pPr>
            <w:r>
              <w:t>19,30</w:t>
            </w:r>
          </w:p>
        </w:tc>
        <w:tc>
          <w:tcPr>
            <w:tcW w:w="1419" w:type="dxa"/>
            <w:noWrap/>
          </w:tcPr>
          <w:p>
            <w:pPr>
              <w:ind w:right="-1"/>
              <w:rPr>
                <w:highlight w:val="yellow"/>
              </w:rPr>
            </w:pPr>
            <w: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787" w:type="dxa"/>
            <w:noWrap/>
          </w:tcPr>
          <w:p>
            <w:pPr>
              <w:ind w:right="-1"/>
              <w:rPr>
                <w:b/>
              </w:rPr>
            </w:pPr>
            <w:r>
              <w:rPr>
                <w:b/>
              </w:rPr>
              <w:t>4.</w:t>
            </w:r>
          </w:p>
        </w:tc>
        <w:tc>
          <w:tcPr>
            <w:tcW w:w="3772" w:type="dxa"/>
            <w:noWrap/>
          </w:tcPr>
          <w:p>
            <w:pPr>
              <w:ind w:right="-1"/>
              <w:rPr>
                <w:b/>
                <w:bCs/>
              </w:rPr>
            </w:pPr>
            <w:r>
              <w:rPr>
                <w:b/>
                <w:bCs/>
              </w:rPr>
              <w:t>Объекты социально и культурно-бытового обслуживания населения</w:t>
            </w:r>
          </w:p>
        </w:tc>
        <w:tc>
          <w:tcPr>
            <w:tcW w:w="1417" w:type="dxa"/>
            <w:noWrap/>
          </w:tcPr>
          <w:p>
            <w:pPr>
              <w:ind w:right="-1" w:firstLine="33"/>
              <w:rPr>
                <w:highlight w:val="yellow"/>
              </w:rPr>
            </w:pPr>
          </w:p>
        </w:tc>
        <w:tc>
          <w:tcPr>
            <w:tcW w:w="2713" w:type="dxa"/>
            <w:gridSpan w:val="2"/>
            <w:noWrap/>
          </w:tcPr>
          <w:p>
            <w:pPr>
              <w:ind w:right="-1"/>
              <w:rPr>
                <w:highlight w:val="yellow"/>
              </w:rPr>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87" w:type="dxa"/>
            <w:noWrap/>
          </w:tcPr>
          <w:p>
            <w:pPr>
              <w:ind w:right="-1"/>
              <w:rPr>
                <w:b/>
                <w:bCs/>
              </w:rPr>
            </w:pPr>
            <w:r>
              <w:t>4.1.</w:t>
            </w:r>
          </w:p>
        </w:tc>
        <w:tc>
          <w:tcPr>
            <w:tcW w:w="3772" w:type="dxa"/>
          </w:tcPr>
          <w:p>
            <w:pPr>
              <w:ind w:right="-1"/>
            </w:pPr>
            <w:r>
              <w:t>Детские дошкольные учреждения – всего</w:t>
            </w:r>
          </w:p>
        </w:tc>
        <w:tc>
          <w:tcPr>
            <w:tcW w:w="1417" w:type="dxa"/>
            <w:noWrap/>
          </w:tcPr>
          <w:p>
            <w:pPr>
              <w:ind w:right="-1" w:firstLine="33"/>
            </w:pPr>
            <w:r>
              <w:t>мест</w:t>
            </w:r>
          </w:p>
        </w:tc>
        <w:tc>
          <w:tcPr>
            <w:tcW w:w="2713" w:type="dxa"/>
            <w:gridSpan w:val="2"/>
            <w:noWrap/>
          </w:tcPr>
          <w:p>
            <w:pPr>
              <w:ind w:right="-1"/>
            </w:pPr>
            <w:r>
              <w:t>160</w:t>
            </w:r>
          </w:p>
        </w:tc>
        <w:tc>
          <w:tcPr>
            <w:tcW w:w="1419" w:type="dxa"/>
            <w:noWrap/>
          </w:tcPr>
          <w:p>
            <w:pPr>
              <w:ind w:right="-1"/>
            </w:pPr>
            <w: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pPr>
          </w:p>
        </w:tc>
        <w:tc>
          <w:tcPr>
            <w:tcW w:w="3772" w:type="dxa"/>
          </w:tcPr>
          <w:p>
            <w:pPr>
              <w:ind w:right="-1"/>
            </w:pPr>
            <w:r>
              <w:t>на 1000 человек</w:t>
            </w:r>
          </w:p>
        </w:tc>
        <w:tc>
          <w:tcPr>
            <w:tcW w:w="1417" w:type="dxa"/>
            <w:noWrap/>
          </w:tcPr>
          <w:p>
            <w:pPr>
              <w:ind w:right="-1" w:firstLine="33"/>
            </w:pPr>
            <w:r>
              <w:t>мест</w:t>
            </w:r>
          </w:p>
        </w:tc>
        <w:tc>
          <w:tcPr>
            <w:tcW w:w="2713" w:type="dxa"/>
            <w:gridSpan w:val="2"/>
            <w:noWrap/>
          </w:tcPr>
          <w:p>
            <w:pPr>
              <w:ind w:right="-1"/>
              <w:rPr>
                <w:highlight w:val="yellow"/>
              </w:rPr>
            </w:pPr>
            <w:r>
              <w:t>71</w:t>
            </w:r>
          </w:p>
        </w:tc>
        <w:tc>
          <w:tcPr>
            <w:tcW w:w="1419" w:type="dxa"/>
            <w:noWrap/>
          </w:tcPr>
          <w:p>
            <w:pPr>
              <w:ind w:right="-1"/>
              <w:rPr>
                <w:highlight w:val="yellow"/>
              </w:rPr>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87" w:type="dxa"/>
            <w:noWrap/>
          </w:tcPr>
          <w:p>
            <w:pPr>
              <w:ind w:right="-1"/>
            </w:pPr>
            <w:r>
              <w:t>4.2.</w:t>
            </w:r>
          </w:p>
        </w:tc>
        <w:tc>
          <w:tcPr>
            <w:tcW w:w="3772" w:type="dxa"/>
          </w:tcPr>
          <w:p>
            <w:pPr>
              <w:ind w:right="-1"/>
            </w:pPr>
            <w:r>
              <w:t>Общеобразовательные школы – всего</w:t>
            </w:r>
          </w:p>
        </w:tc>
        <w:tc>
          <w:tcPr>
            <w:tcW w:w="1417" w:type="dxa"/>
            <w:noWrap/>
          </w:tcPr>
          <w:p>
            <w:pPr>
              <w:ind w:right="-1" w:firstLine="33"/>
            </w:pPr>
            <w:r>
              <w:t>мест</w:t>
            </w:r>
          </w:p>
        </w:tc>
        <w:tc>
          <w:tcPr>
            <w:tcW w:w="2713" w:type="dxa"/>
            <w:gridSpan w:val="2"/>
            <w:noWrap/>
          </w:tcPr>
          <w:p>
            <w:pPr>
              <w:ind w:right="-1"/>
              <w:rPr>
                <w:highlight w:val="yellow"/>
              </w:rPr>
            </w:pPr>
            <w:r>
              <w:t>352</w:t>
            </w:r>
          </w:p>
        </w:tc>
        <w:tc>
          <w:tcPr>
            <w:tcW w:w="1419" w:type="dxa"/>
            <w:noWrap/>
          </w:tcPr>
          <w:p>
            <w:pPr>
              <w:ind w:right="-1"/>
              <w:rPr>
                <w:highlight w:val="yellow"/>
              </w:rPr>
            </w:pPr>
            <w:r>
              <w:t>3240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7" w:type="dxa"/>
            <w:noWrap/>
          </w:tcPr>
          <w:p>
            <w:pPr>
              <w:ind w:right="-1"/>
            </w:pPr>
          </w:p>
        </w:tc>
        <w:tc>
          <w:tcPr>
            <w:tcW w:w="3772" w:type="dxa"/>
          </w:tcPr>
          <w:p>
            <w:pPr>
              <w:ind w:right="-1"/>
            </w:pPr>
            <w:r>
              <w:t>На 1000 человек</w:t>
            </w:r>
          </w:p>
        </w:tc>
        <w:tc>
          <w:tcPr>
            <w:tcW w:w="1417" w:type="dxa"/>
            <w:noWrap/>
          </w:tcPr>
          <w:p>
            <w:pPr>
              <w:ind w:right="-1" w:firstLine="33"/>
            </w:pPr>
            <w:r>
              <w:t>мест</w:t>
            </w:r>
          </w:p>
        </w:tc>
        <w:tc>
          <w:tcPr>
            <w:tcW w:w="2713" w:type="dxa"/>
            <w:gridSpan w:val="2"/>
            <w:noWrap/>
          </w:tcPr>
          <w:p>
            <w:pPr>
              <w:ind w:right="-1"/>
              <w:rPr>
                <w:highlight w:val="yellow"/>
              </w:rPr>
            </w:pPr>
            <w:r>
              <w:t>156</w:t>
            </w:r>
          </w:p>
        </w:tc>
        <w:tc>
          <w:tcPr>
            <w:tcW w:w="1419" w:type="dxa"/>
            <w:noWrap/>
          </w:tcPr>
          <w:p>
            <w:pPr>
              <w:ind w:right="-1"/>
              <w:rPr>
                <w:highlight w:val="yellow"/>
              </w:rPr>
            </w:pPr>
            <w: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r>
              <w:t>4.3.</w:t>
            </w:r>
          </w:p>
        </w:tc>
        <w:tc>
          <w:tcPr>
            <w:tcW w:w="3772" w:type="dxa"/>
          </w:tcPr>
          <w:p>
            <w:pPr>
              <w:ind w:right="-1"/>
            </w:pPr>
            <w:r>
              <w:t>Больницы – всего</w:t>
            </w:r>
          </w:p>
        </w:tc>
        <w:tc>
          <w:tcPr>
            <w:tcW w:w="1417" w:type="dxa"/>
            <w:noWrap/>
          </w:tcPr>
          <w:p>
            <w:pPr>
              <w:ind w:right="-1" w:firstLine="33"/>
            </w:pPr>
            <w:r>
              <w:t>коек</w:t>
            </w:r>
          </w:p>
        </w:tc>
        <w:tc>
          <w:tcPr>
            <w:tcW w:w="2713" w:type="dxa"/>
            <w:gridSpan w:val="2"/>
            <w:noWrap/>
          </w:tcPr>
          <w:p>
            <w:pPr>
              <w:ind w:right="-1"/>
              <w:rPr>
                <w:highlight w:val="yellow"/>
              </w:rPr>
            </w:pPr>
            <w:r>
              <w:t>35</w:t>
            </w:r>
          </w:p>
        </w:tc>
        <w:tc>
          <w:tcPr>
            <w:tcW w:w="1419" w:type="dxa"/>
            <w:noWrap/>
          </w:tcPr>
          <w:p>
            <w:pPr>
              <w:ind w:right="-1"/>
              <w:rPr>
                <w:highlight w:val="yellow"/>
              </w:rPr>
            </w:pPr>
            <w: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87" w:type="dxa"/>
            <w:noWrap/>
          </w:tcPr>
          <w:p>
            <w:pPr>
              <w:ind w:right="-1"/>
            </w:pPr>
          </w:p>
        </w:tc>
        <w:tc>
          <w:tcPr>
            <w:tcW w:w="3772" w:type="dxa"/>
          </w:tcPr>
          <w:p>
            <w:pPr>
              <w:ind w:right="-1"/>
            </w:pPr>
            <w:r>
              <w:t>на 1000 человек</w:t>
            </w:r>
          </w:p>
        </w:tc>
        <w:tc>
          <w:tcPr>
            <w:tcW w:w="1417" w:type="dxa"/>
            <w:noWrap/>
          </w:tcPr>
          <w:p>
            <w:pPr>
              <w:ind w:right="-1" w:firstLine="33"/>
            </w:pPr>
            <w:r>
              <w:t>коек</w:t>
            </w:r>
          </w:p>
        </w:tc>
        <w:tc>
          <w:tcPr>
            <w:tcW w:w="2713" w:type="dxa"/>
            <w:gridSpan w:val="2"/>
            <w:noWrap/>
          </w:tcPr>
          <w:p>
            <w:pPr>
              <w:ind w:right="-1"/>
              <w:rPr>
                <w:highlight w:val="yellow"/>
              </w:rPr>
            </w:pPr>
            <w:r>
              <w:t>16</w:t>
            </w:r>
          </w:p>
        </w:tc>
        <w:tc>
          <w:tcPr>
            <w:tcW w:w="1419" w:type="dxa"/>
            <w:noWrap/>
          </w:tcPr>
          <w:p>
            <w:pPr>
              <w:ind w:right="-1"/>
              <w:rPr>
                <w:highlight w:val="yellow"/>
              </w:rPr>
            </w:pPr>
            <w: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87" w:type="dxa"/>
            <w:noWrap/>
          </w:tcPr>
          <w:p>
            <w:pPr>
              <w:ind w:right="-1"/>
            </w:pPr>
            <w:r>
              <w:t>4.4</w:t>
            </w:r>
          </w:p>
        </w:tc>
        <w:tc>
          <w:tcPr>
            <w:tcW w:w="3772" w:type="dxa"/>
          </w:tcPr>
          <w:p>
            <w:pPr>
              <w:ind w:right="-1"/>
            </w:pPr>
            <w:r>
              <w:t>Поликлиники,</w:t>
            </w:r>
          </w:p>
          <w:p>
            <w:pPr>
              <w:ind w:right="-1"/>
            </w:pPr>
            <w:r>
              <w:t>(медицинские центры)</w:t>
            </w:r>
          </w:p>
        </w:tc>
        <w:tc>
          <w:tcPr>
            <w:tcW w:w="1417" w:type="dxa"/>
            <w:noWrap/>
          </w:tcPr>
          <w:p>
            <w:pPr>
              <w:ind w:right="-1" w:firstLine="33"/>
            </w:pPr>
            <w:r>
              <w:t>посещ. в смену</w:t>
            </w:r>
          </w:p>
        </w:tc>
        <w:tc>
          <w:tcPr>
            <w:tcW w:w="2713" w:type="dxa"/>
            <w:gridSpan w:val="2"/>
            <w:noWrap/>
          </w:tcPr>
          <w:p>
            <w:pPr>
              <w:ind w:right="-1"/>
            </w:pPr>
            <w:r>
              <w:t>25</w:t>
            </w:r>
          </w:p>
        </w:tc>
        <w:tc>
          <w:tcPr>
            <w:tcW w:w="1419" w:type="dxa"/>
            <w:noWrap/>
          </w:tcPr>
          <w:p>
            <w:pPr>
              <w:ind w:right="-1"/>
            </w:pPr>
            <w:r>
              <w:t>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87" w:type="dxa"/>
            <w:noWrap/>
          </w:tcPr>
          <w:p>
            <w:pPr>
              <w:ind w:right="-1"/>
            </w:pPr>
          </w:p>
        </w:tc>
        <w:tc>
          <w:tcPr>
            <w:tcW w:w="3772" w:type="dxa"/>
          </w:tcPr>
          <w:p>
            <w:pPr>
              <w:ind w:right="-1"/>
            </w:pPr>
            <w:r>
              <w:t>на 1000 человек</w:t>
            </w:r>
          </w:p>
        </w:tc>
        <w:tc>
          <w:tcPr>
            <w:tcW w:w="1417" w:type="dxa"/>
            <w:noWrap/>
          </w:tcPr>
          <w:p>
            <w:pPr>
              <w:ind w:right="-1" w:firstLine="33"/>
            </w:pPr>
            <w:r>
              <w:t>посещ. в смену</w:t>
            </w:r>
          </w:p>
        </w:tc>
        <w:tc>
          <w:tcPr>
            <w:tcW w:w="2713" w:type="dxa"/>
            <w:gridSpan w:val="2"/>
            <w:noWrap/>
          </w:tcPr>
          <w:p>
            <w:pPr>
              <w:ind w:right="-1"/>
              <w:rPr>
                <w:highlight w:val="yellow"/>
              </w:rPr>
            </w:pPr>
            <w:r>
              <w:t>11</w:t>
            </w:r>
          </w:p>
        </w:tc>
        <w:tc>
          <w:tcPr>
            <w:tcW w:w="1419" w:type="dxa"/>
            <w:noWrap/>
          </w:tcPr>
          <w:p>
            <w:pPr>
              <w:ind w:right="-1"/>
              <w:rPr>
                <w:highlight w:val="yellow"/>
              </w:rPr>
            </w:pPr>
            <w: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87" w:type="dxa"/>
            <w:noWrap/>
          </w:tcPr>
          <w:p>
            <w:pPr>
              <w:ind w:right="-1"/>
            </w:pPr>
            <w:r>
              <w:t>4.5.</w:t>
            </w:r>
          </w:p>
        </w:tc>
        <w:tc>
          <w:tcPr>
            <w:tcW w:w="3772" w:type="dxa"/>
            <w:noWrap/>
          </w:tcPr>
          <w:p>
            <w:pPr>
              <w:ind w:right="-1"/>
            </w:pPr>
            <w:r>
              <w:t>Предприятия розничной торговли – всего</w:t>
            </w:r>
          </w:p>
        </w:tc>
        <w:tc>
          <w:tcPr>
            <w:tcW w:w="1417" w:type="dxa"/>
            <w:noWrap/>
          </w:tcPr>
          <w:p>
            <w:pPr>
              <w:ind w:right="-1" w:firstLine="33"/>
            </w:pPr>
            <w:r>
              <w:t>м</w:t>
            </w:r>
            <w:r>
              <w:rPr>
                <w:vertAlign w:val="superscript"/>
              </w:rPr>
              <w:t>2</w:t>
            </w:r>
            <w:r>
              <w:t xml:space="preserve"> т.пл.</w:t>
            </w:r>
          </w:p>
        </w:tc>
        <w:tc>
          <w:tcPr>
            <w:tcW w:w="2713" w:type="dxa"/>
            <w:gridSpan w:val="2"/>
            <w:noWrap/>
          </w:tcPr>
          <w:p>
            <w:pPr>
              <w:ind w:right="-1"/>
              <w:rPr>
                <w:highlight w:val="yellow"/>
              </w:rPr>
            </w:pPr>
            <w:r>
              <w:t>69</w:t>
            </w:r>
          </w:p>
        </w:tc>
        <w:tc>
          <w:tcPr>
            <w:tcW w:w="1419" w:type="dxa"/>
            <w:noWrap/>
          </w:tcPr>
          <w:p>
            <w:pPr>
              <w:ind w:right="-1"/>
              <w:rPr>
                <w:highlight w:val="yellow"/>
              </w:rPr>
            </w:pPr>
            <w:r>
              <w:t>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7" w:type="dxa"/>
            <w:noWrap/>
          </w:tcPr>
          <w:p>
            <w:pPr>
              <w:ind w:right="-1"/>
            </w:pPr>
          </w:p>
        </w:tc>
        <w:tc>
          <w:tcPr>
            <w:tcW w:w="3772" w:type="dxa"/>
            <w:noWrap/>
          </w:tcPr>
          <w:p>
            <w:pPr>
              <w:ind w:right="-1"/>
            </w:pPr>
            <w:r>
              <w:t>на 1000 человек</w:t>
            </w:r>
          </w:p>
        </w:tc>
        <w:tc>
          <w:tcPr>
            <w:tcW w:w="1417" w:type="dxa"/>
            <w:noWrap/>
          </w:tcPr>
          <w:p>
            <w:pPr>
              <w:ind w:right="-1" w:firstLine="33"/>
            </w:pPr>
            <w:r>
              <w:t>м</w:t>
            </w:r>
            <w:r>
              <w:rPr>
                <w:vertAlign w:val="superscript"/>
              </w:rPr>
              <w:t>2</w:t>
            </w:r>
            <w:r>
              <w:t xml:space="preserve"> т.пл.</w:t>
            </w:r>
          </w:p>
        </w:tc>
        <w:tc>
          <w:tcPr>
            <w:tcW w:w="2713" w:type="dxa"/>
            <w:gridSpan w:val="2"/>
            <w:noWrap/>
          </w:tcPr>
          <w:p>
            <w:pPr>
              <w:ind w:right="-1"/>
              <w:rPr>
                <w:highlight w:val="yellow"/>
              </w:rPr>
            </w:pPr>
            <w:r>
              <w:t>31</w:t>
            </w:r>
          </w:p>
        </w:tc>
        <w:tc>
          <w:tcPr>
            <w:tcW w:w="1419" w:type="dxa"/>
            <w:noWrap/>
          </w:tcPr>
          <w:p>
            <w:pPr>
              <w:ind w:right="-1"/>
              <w:rPr>
                <w:highlight w:val="yellow"/>
              </w:rPr>
            </w:pPr>
            <w: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pPr>
            <w:r>
              <w:t>4,6.</w:t>
            </w:r>
          </w:p>
        </w:tc>
        <w:tc>
          <w:tcPr>
            <w:tcW w:w="3772" w:type="dxa"/>
            <w:noWrap/>
          </w:tcPr>
          <w:p>
            <w:pPr>
              <w:ind w:right="-1"/>
            </w:pPr>
            <w:r>
              <w:t xml:space="preserve">Предприятия общественного питания – </w:t>
            </w:r>
          </w:p>
          <w:p>
            <w:pPr>
              <w:ind w:right="-1"/>
            </w:pPr>
            <w:r>
              <w:t>всего</w:t>
            </w:r>
          </w:p>
        </w:tc>
        <w:tc>
          <w:tcPr>
            <w:tcW w:w="1417" w:type="dxa"/>
            <w:noWrap/>
          </w:tcPr>
          <w:p>
            <w:pPr>
              <w:ind w:right="-1" w:firstLine="33"/>
            </w:pPr>
            <w:r>
              <w:t>п. мест</w:t>
            </w:r>
          </w:p>
        </w:tc>
        <w:tc>
          <w:tcPr>
            <w:tcW w:w="2713" w:type="dxa"/>
            <w:gridSpan w:val="2"/>
            <w:noWrap/>
          </w:tcPr>
          <w:p>
            <w:pPr>
              <w:ind w:right="-1"/>
            </w:pPr>
            <w:r>
              <w:t>0</w:t>
            </w:r>
          </w:p>
        </w:tc>
        <w:tc>
          <w:tcPr>
            <w:tcW w:w="1419" w:type="dxa"/>
            <w:noWrap/>
          </w:tcPr>
          <w:p>
            <w:pPr>
              <w:ind w:right="-1"/>
              <w:rPr>
                <w:highlight w:val="yellow"/>
              </w:rPr>
            </w:pPr>
            <w: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87" w:type="dxa"/>
            <w:noWrap/>
          </w:tcPr>
          <w:p>
            <w:pPr>
              <w:ind w:right="-1"/>
            </w:pPr>
          </w:p>
        </w:tc>
        <w:tc>
          <w:tcPr>
            <w:tcW w:w="3772" w:type="dxa"/>
          </w:tcPr>
          <w:p>
            <w:pPr>
              <w:ind w:right="-1"/>
            </w:pPr>
            <w:r>
              <w:t>на 1000 человек</w:t>
            </w:r>
          </w:p>
        </w:tc>
        <w:tc>
          <w:tcPr>
            <w:tcW w:w="1417" w:type="dxa"/>
            <w:noWrap/>
          </w:tcPr>
          <w:p>
            <w:pPr>
              <w:ind w:right="-1" w:firstLine="33"/>
            </w:pPr>
            <w:r>
              <w:t>п. мест</w:t>
            </w:r>
          </w:p>
        </w:tc>
        <w:tc>
          <w:tcPr>
            <w:tcW w:w="2713" w:type="dxa"/>
            <w:gridSpan w:val="2"/>
            <w:noWrap/>
          </w:tcPr>
          <w:p>
            <w:pPr>
              <w:ind w:right="-1"/>
            </w:pPr>
            <w:r>
              <w:t>0</w:t>
            </w:r>
          </w:p>
        </w:tc>
        <w:tc>
          <w:tcPr>
            <w:tcW w:w="1419" w:type="dxa"/>
            <w:noWrap/>
          </w:tcPr>
          <w:p>
            <w:pPr>
              <w:ind w:right="-1"/>
              <w:rPr>
                <w:highlight w:val="yellow"/>
              </w:rPr>
            </w:pPr>
            <w: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87" w:type="dxa"/>
            <w:noWrap/>
          </w:tcPr>
          <w:p>
            <w:pPr>
              <w:ind w:right="-1"/>
            </w:pPr>
            <w:r>
              <w:t>4.7.</w:t>
            </w:r>
          </w:p>
        </w:tc>
        <w:tc>
          <w:tcPr>
            <w:tcW w:w="3772" w:type="dxa"/>
          </w:tcPr>
          <w:p>
            <w:pPr>
              <w:ind w:right="-1"/>
            </w:pPr>
            <w:r>
              <w:t xml:space="preserve">Предприятия бытового обслуживания </w:t>
            </w:r>
          </w:p>
          <w:p>
            <w:pPr>
              <w:ind w:right="-1"/>
            </w:pPr>
            <w:r>
              <w:t>населения – всего</w:t>
            </w:r>
          </w:p>
        </w:tc>
        <w:tc>
          <w:tcPr>
            <w:tcW w:w="1417" w:type="dxa"/>
            <w:noWrap/>
          </w:tcPr>
          <w:p>
            <w:pPr>
              <w:ind w:right="-1" w:firstLine="33"/>
            </w:pPr>
            <w:r>
              <w:t>р. мест</w:t>
            </w:r>
          </w:p>
        </w:tc>
        <w:tc>
          <w:tcPr>
            <w:tcW w:w="2713" w:type="dxa"/>
            <w:gridSpan w:val="2"/>
            <w:noWrap/>
          </w:tcPr>
          <w:p>
            <w:pPr>
              <w:ind w:right="-1"/>
            </w:pPr>
            <w:r>
              <w:t>2</w:t>
            </w:r>
          </w:p>
        </w:tc>
        <w:tc>
          <w:tcPr>
            <w:tcW w:w="1419" w:type="dxa"/>
            <w:noWrap/>
          </w:tcPr>
          <w:p>
            <w:pPr>
              <w:ind w:right="-1"/>
            </w:pPr>
            <w: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787" w:type="dxa"/>
            <w:noWrap/>
          </w:tcPr>
          <w:p>
            <w:pPr>
              <w:ind w:right="-1"/>
            </w:pPr>
          </w:p>
        </w:tc>
        <w:tc>
          <w:tcPr>
            <w:tcW w:w="3772" w:type="dxa"/>
          </w:tcPr>
          <w:p>
            <w:pPr>
              <w:ind w:right="-1"/>
            </w:pPr>
            <w:r>
              <w:t>на 1000 человек</w:t>
            </w:r>
          </w:p>
        </w:tc>
        <w:tc>
          <w:tcPr>
            <w:tcW w:w="1417" w:type="dxa"/>
            <w:noWrap/>
          </w:tcPr>
          <w:p>
            <w:pPr>
              <w:ind w:right="-1"/>
            </w:pPr>
            <w:r>
              <w:t>р. мест</w:t>
            </w:r>
          </w:p>
        </w:tc>
        <w:tc>
          <w:tcPr>
            <w:tcW w:w="2713" w:type="dxa"/>
            <w:gridSpan w:val="2"/>
            <w:noWrap/>
          </w:tcPr>
          <w:p>
            <w:pPr>
              <w:ind w:right="-1"/>
              <w:rPr>
                <w:highlight w:val="yellow"/>
              </w:rPr>
            </w:pPr>
            <w:r>
              <w:t>1</w:t>
            </w:r>
          </w:p>
        </w:tc>
        <w:tc>
          <w:tcPr>
            <w:tcW w:w="1419" w:type="dxa"/>
            <w:noWrap/>
          </w:tcPr>
          <w:p>
            <w:pPr>
              <w:ind w:right="-1"/>
              <w:rPr>
                <w:highlight w:val="yellow"/>
              </w:rPr>
            </w:pPr>
            <w: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87" w:type="dxa"/>
            <w:noWrap/>
          </w:tcPr>
          <w:p>
            <w:pPr>
              <w:ind w:right="-1"/>
            </w:pPr>
            <w:r>
              <w:t>4.8.</w:t>
            </w:r>
          </w:p>
        </w:tc>
        <w:tc>
          <w:tcPr>
            <w:tcW w:w="3772" w:type="dxa"/>
          </w:tcPr>
          <w:p>
            <w:pPr>
              <w:ind w:right="-1"/>
            </w:pPr>
            <w:r>
              <w:t xml:space="preserve">Учреждения культуры и искусства – </w:t>
            </w:r>
          </w:p>
          <w:p>
            <w:pPr>
              <w:ind w:right="-1"/>
            </w:pPr>
            <w:r>
              <w:t>всего</w:t>
            </w:r>
          </w:p>
        </w:tc>
        <w:tc>
          <w:tcPr>
            <w:tcW w:w="1417" w:type="dxa"/>
            <w:noWrap/>
          </w:tcPr>
          <w:p>
            <w:pPr>
              <w:ind w:right="-1"/>
            </w:pPr>
            <w:r>
              <w:t>мест</w:t>
            </w:r>
          </w:p>
        </w:tc>
        <w:tc>
          <w:tcPr>
            <w:tcW w:w="2713" w:type="dxa"/>
            <w:gridSpan w:val="2"/>
            <w:noWrap/>
          </w:tcPr>
          <w:p>
            <w:pPr>
              <w:ind w:right="-1"/>
            </w:pPr>
            <w:r>
              <w:t>350</w:t>
            </w:r>
          </w:p>
        </w:tc>
        <w:tc>
          <w:tcPr>
            <w:tcW w:w="1419" w:type="dxa"/>
            <w:noWrap/>
          </w:tcPr>
          <w:p>
            <w:pPr>
              <w:ind w:right="-1"/>
            </w:pPr>
            <w:r>
              <w:t>1260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87" w:type="dxa"/>
            <w:noWrap/>
          </w:tcPr>
          <w:p>
            <w:pPr>
              <w:ind w:right="-1"/>
            </w:pPr>
          </w:p>
        </w:tc>
        <w:tc>
          <w:tcPr>
            <w:tcW w:w="3772" w:type="dxa"/>
          </w:tcPr>
          <w:p>
            <w:pPr>
              <w:ind w:right="-1"/>
            </w:pPr>
            <w:r>
              <w:t>на 1000 человек</w:t>
            </w:r>
          </w:p>
        </w:tc>
        <w:tc>
          <w:tcPr>
            <w:tcW w:w="1417" w:type="dxa"/>
            <w:noWrap/>
          </w:tcPr>
          <w:p>
            <w:pPr>
              <w:ind w:right="-1"/>
            </w:pPr>
            <w:r>
              <w:t>мест</w:t>
            </w:r>
          </w:p>
        </w:tc>
        <w:tc>
          <w:tcPr>
            <w:tcW w:w="2713" w:type="dxa"/>
            <w:gridSpan w:val="2"/>
            <w:noWrap/>
          </w:tcPr>
          <w:p>
            <w:pPr>
              <w:ind w:right="-1"/>
            </w:pPr>
            <w:r>
              <w:t>156</w:t>
            </w:r>
          </w:p>
        </w:tc>
        <w:tc>
          <w:tcPr>
            <w:tcW w:w="1419" w:type="dxa"/>
            <w:noWrap/>
          </w:tcPr>
          <w:p>
            <w:pPr>
              <w:ind w:right="-1"/>
            </w:pP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87" w:type="dxa"/>
            <w:noWrap/>
          </w:tcPr>
          <w:p>
            <w:pPr>
              <w:ind w:right="-1"/>
            </w:pPr>
            <w:r>
              <w:t>4.9.</w:t>
            </w:r>
          </w:p>
        </w:tc>
        <w:tc>
          <w:tcPr>
            <w:tcW w:w="3772" w:type="dxa"/>
          </w:tcPr>
          <w:p>
            <w:pPr>
              <w:ind w:right="-1"/>
            </w:pPr>
            <w:r>
              <w:t>Спортивные и физкультурно-оздоровительные сооружения (залы) – всего</w:t>
            </w:r>
          </w:p>
        </w:tc>
        <w:tc>
          <w:tcPr>
            <w:tcW w:w="1417" w:type="dxa"/>
            <w:noWrap/>
          </w:tcPr>
          <w:p>
            <w:pPr>
              <w:ind w:right="-1"/>
            </w:pPr>
            <w:r>
              <w:t>м</w:t>
            </w:r>
            <w:r>
              <w:rPr>
                <w:vertAlign w:val="superscript"/>
              </w:rPr>
              <w:t>2</w:t>
            </w:r>
          </w:p>
        </w:tc>
        <w:tc>
          <w:tcPr>
            <w:tcW w:w="2713" w:type="dxa"/>
            <w:gridSpan w:val="2"/>
            <w:noWrap/>
          </w:tcPr>
          <w:p>
            <w:pPr>
              <w:ind w:right="-1"/>
            </w:pPr>
            <w:r>
              <w:t>0</w:t>
            </w:r>
          </w:p>
        </w:tc>
        <w:tc>
          <w:tcPr>
            <w:tcW w:w="1419" w:type="dxa"/>
            <w:noWrap/>
          </w:tcPr>
          <w:p>
            <w:pPr>
              <w:ind w:right="-1"/>
            </w:pPr>
            <w:r>
              <w:t>1260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787" w:type="dxa"/>
            <w:noWrap/>
          </w:tcPr>
          <w:p>
            <w:pPr>
              <w:ind w:right="-1"/>
            </w:pPr>
          </w:p>
        </w:tc>
        <w:tc>
          <w:tcPr>
            <w:tcW w:w="3772" w:type="dxa"/>
          </w:tcPr>
          <w:p>
            <w:pPr>
              <w:ind w:right="-1"/>
            </w:pPr>
            <w:r>
              <w:t>на 1000 человек</w:t>
            </w:r>
          </w:p>
        </w:tc>
        <w:tc>
          <w:tcPr>
            <w:tcW w:w="1417" w:type="dxa"/>
            <w:noWrap/>
          </w:tcPr>
          <w:p>
            <w:pPr>
              <w:ind w:right="-1"/>
            </w:pPr>
            <w:r>
              <w:t>м</w:t>
            </w:r>
            <w:r>
              <w:rPr>
                <w:vertAlign w:val="superscript"/>
              </w:rPr>
              <w:t>2</w:t>
            </w:r>
          </w:p>
        </w:tc>
        <w:tc>
          <w:tcPr>
            <w:tcW w:w="2713" w:type="dxa"/>
            <w:gridSpan w:val="2"/>
            <w:noWrap/>
          </w:tcPr>
          <w:p>
            <w:pPr>
              <w:ind w:right="-1"/>
            </w:pPr>
            <w:r>
              <w:t>0</w:t>
            </w:r>
          </w:p>
        </w:tc>
        <w:tc>
          <w:tcPr>
            <w:tcW w:w="1419" w:type="dxa"/>
            <w:noWrap/>
          </w:tcPr>
          <w:p>
            <w:pPr>
              <w:ind w:right="-1"/>
            </w:pP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87" w:type="dxa"/>
            <w:noWrap/>
          </w:tcPr>
          <w:p>
            <w:pPr>
              <w:ind w:right="-1"/>
            </w:pPr>
            <w:r>
              <w:t>4.10</w:t>
            </w:r>
          </w:p>
        </w:tc>
        <w:tc>
          <w:tcPr>
            <w:tcW w:w="3772" w:type="dxa"/>
          </w:tcPr>
          <w:p>
            <w:pPr>
              <w:ind w:right="-1"/>
            </w:pPr>
            <w:r>
              <w:t>Гостиницы – всего</w:t>
            </w:r>
          </w:p>
        </w:tc>
        <w:tc>
          <w:tcPr>
            <w:tcW w:w="1417" w:type="dxa"/>
            <w:noWrap/>
          </w:tcPr>
          <w:p>
            <w:pPr>
              <w:ind w:right="-1"/>
            </w:pPr>
            <w:r>
              <w:t>мест</w:t>
            </w:r>
          </w:p>
        </w:tc>
        <w:tc>
          <w:tcPr>
            <w:tcW w:w="2713" w:type="dxa"/>
            <w:gridSpan w:val="2"/>
            <w:noWrap/>
          </w:tcPr>
          <w:p>
            <w:pPr>
              <w:ind w:right="-1"/>
            </w:pPr>
            <w:r>
              <w:t>0</w:t>
            </w:r>
          </w:p>
        </w:tc>
        <w:tc>
          <w:tcPr>
            <w:tcW w:w="1419" w:type="dxa"/>
            <w:noWrap/>
          </w:tcPr>
          <w:p>
            <w:pPr>
              <w:ind w:right="-1"/>
              <w:rPr>
                <w:highlight w:val="yellow"/>
              </w:rPr>
            </w:pPr>
            <w: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87" w:type="dxa"/>
            <w:noWrap/>
          </w:tcPr>
          <w:p>
            <w:pPr>
              <w:ind w:right="-1"/>
            </w:pPr>
          </w:p>
        </w:tc>
        <w:tc>
          <w:tcPr>
            <w:tcW w:w="3772" w:type="dxa"/>
          </w:tcPr>
          <w:p>
            <w:pPr>
              <w:ind w:right="-1"/>
            </w:pPr>
            <w:r>
              <w:t>на 1000 человек</w:t>
            </w:r>
          </w:p>
        </w:tc>
        <w:tc>
          <w:tcPr>
            <w:tcW w:w="1417" w:type="dxa"/>
            <w:noWrap/>
          </w:tcPr>
          <w:p>
            <w:pPr>
              <w:ind w:right="-1"/>
            </w:pPr>
            <w:r>
              <w:t>мест</w:t>
            </w:r>
          </w:p>
        </w:tc>
        <w:tc>
          <w:tcPr>
            <w:tcW w:w="2713" w:type="dxa"/>
            <w:gridSpan w:val="2"/>
            <w:noWrap/>
          </w:tcPr>
          <w:p>
            <w:pPr>
              <w:ind w:right="-1"/>
            </w:pPr>
            <w:r>
              <w:t>0</w:t>
            </w:r>
          </w:p>
        </w:tc>
        <w:tc>
          <w:tcPr>
            <w:tcW w:w="1419" w:type="dxa"/>
            <w:noWrap/>
          </w:tcPr>
          <w:p>
            <w:pPr>
              <w:ind w:right="-1"/>
              <w:rPr>
                <w:highlight w:val="yellow"/>
              </w:rPr>
            </w:pPr>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87" w:type="dxa"/>
            <w:noWrap/>
          </w:tcPr>
          <w:p>
            <w:pPr>
              <w:ind w:right="-1"/>
            </w:pPr>
            <w:r>
              <w:t>4.11</w:t>
            </w:r>
          </w:p>
        </w:tc>
        <w:tc>
          <w:tcPr>
            <w:tcW w:w="3772" w:type="dxa"/>
          </w:tcPr>
          <w:p>
            <w:pPr>
              <w:ind w:right="-1"/>
            </w:pPr>
            <w:r>
              <w:t>Бани – всего</w:t>
            </w:r>
          </w:p>
        </w:tc>
        <w:tc>
          <w:tcPr>
            <w:tcW w:w="1417" w:type="dxa"/>
            <w:noWrap/>
          </w:tcPr>
          <w:p>
            <w:pPr>
              <w:ind w:right="-1"/>
            </w:pPr>
            <w:r>
              <w:t>мест</w:t>
            </w:r>
          </w:p>
        </w:tc>
        <w:tc>
          <w:tcPr>
            <w:tcW w:w="2713" w:type="dxa"/>
            <w:gridSpan w:val="2"/>
            <w:noWrap/>
          </w:tcPr>
          <w:p>
            <w:pPr>
              <w:ind w:right="-1"/>
            </w:pPr>
            <w:r>
              <w:t>0</w:t>
            </w:r>
          </w:p>
        </w:tc>
        <w:tc>
          <w:tcPr>
            <w:tcW w:w="1419" w:type="dxa"/>
            <w:noWrap/>
          </w:tcPr>
          <w:p>
            <w:pPr>
              <w:ind w:right="-1"/>
              <w:rPr>
                <w:highlight w:val="yellow"/>
              </w:rPr>
            </w:pPr>
            <w: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87" w:type="dxa"/>
            <w:noWrap/>
          </w:tcPr>
          <w:p>
            <w:pPr>
              <w:ind w:right="-1"/>
            </w:pPr>
          </w:p>
        </w:tc>
        <w:tc>
          <w:tcPr>
            <w:tcW w:w="3772" w:type="dxa"/>
          </w:tcPr>
          <w:p>
            <w:pPr>
              <w:ind w:right="-1"/>
            </w:pPr>
            <w:r>
              <w:t>на 1000 человек</w:t>
            </w:r>
          </w:p>
        </w:tc>
        <w:tc>
          <w:tcPr>
            <w:tcW w:w="1417" w:type="dxa"/>
            <w:noWrap/>
          </w:tcPr>
          <w:p>
            <w:pPr>
              <w:ind w:right="-1"/>
            </w:pPr>
            <w:r>
              <w:t>мест</w:t>
            </w:r>
          </w:p>
        </w:tc>
        <w:tc>
          <w:tcPr>
            <w:tcW w:w="2713" w:type="dxa"/>
            <w:gridSpan w:val="2"/>
            <w:noWrap/>
          </w:tcPr>
          <w:p>
            <w:pPr>
              <w:ind w:right="-1"/>
            </w:pPr>
            <w:r>
              <w:t>0</w:t>
            </w:r>
          </w:p>
        </w:tc>
        <w:tc>
          <w:tcPr>
            <w:tcW w:w="1419" w:type="dxa"/>
            <w:noWrap/>
          </w:tcPr>
          <w:p>
            <w:pPr>
              <w:ind w:right="-1"/>
              <w:rPr>
                <w:highlight w:val="yellow"/>
              </w:rPr>
            </w:pPr>
            <w: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787" w:type="dxa"/>
            <w:noWrap/>
          </w:tcPr>
          <w:p>
            <w:pPr>
              <w:ind w:right="-1"/>
              <w:rPr>
                <w:b/>
              </w:rPr>
            </w:pPr>
            <w:r>
              <w:rPr>
                <w:b/>
              </w:rPr>
              <w:t>5.</w:t>
            </w:r>
          </w:p>
        </w:tc>
        <w:tc>
          <w:tcPr>
            <w:tcW w:w="3772" w:type="dxa"/>
          </w:tcPr>
          <w:p>
            <w:pPr>
              <w:ind w:right="-1"/>
              <w:rPr>
                <w:b/>
                <w:bCs/>
              </w:rPr>
            </w:pPr>
            <w:r>
              <w:rPr>
                <w:b/>
                <w:bCs/>
              </w:rPr>
              <w:t>Транспортная инфраструктура</w:t>
            </w:r>
          </w:p>
        </w:tc>
        <w:tc>
          <w:tcPr>
            <w:tcW w:w="1417" w:type="dxa"/>
            <w:noWrap/>
          </w:tcPr>
          <w:p>
            <w:pPr>
              <w:ind w:right="-1" w:firstLine="33"/>
            </w:pPr>
          </w:p>
        </w:tc>
        <w:tc>
          <w:tcPr>
            <w:tcW w:w="2713" w:type="dxa"/>
            <w:gridSpan w:val="2"/>
            <w:noWrap/>
          </w:tcPr>
          <w:p>
            <w:pPr>
              <w:ind w:right="-1"/>
            </w:pPr>
          </w:p>
        </w:tc>
        <w:tc>
          <w:tcPr>
            <w:tcW w:w="1419" w:type="dxa"/>
            <w:noWrap/>
          </w:tcPr>
          <w:p>
            <w:pPr>
              <w:ind w:right="-1"/>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87" w:type="dxa"/>
            <w:noWrap/>
          </w:tcPr>
          <w:p>
            <w:pPr>
              <w:ind w:right="-1"/>
              <w:rPr>
                <w:b/>
                <w:bCs/>
              </w:rPr>
            </w:pPr>
            <w:r>
              <w:t>5.1.</w:t>
            </w:r>
          </w:p>
        </w:tc>
        <w:tc>
          <w:tcPr>
            <w:tcW w:w="3772" w:type="dxa"/>
            <w:noWrap/>
          </w:tcPr>
          <w:p>
            <w:pPr>
              <w:ind w:right="-1"/>
            </w:pPr>
            <w:r>
              <w:t>Протяженность улично-дорожной сети</w:t>
            </w:r>
          </w:p>
        </w:tc>
        <w:tc>
          <w:tcPr>
            <w:tcW w:w="1417" w:type="dxa"/>
            <w:noWrap/>
          </w:tcPr>
          <w:p>
            <w:pPr>
              <w:ind w:right="-1"/>
            </w:pPr>
            <w:r>
              <w:t>км</w:t>
            </w:r>
          </w:p>
        </w:tc>
        <w:tc>
          <w:tcPr>
            <w:tcW w:w="2713" w:type="dxa"/>
            <w:gridSpan w:val="2"/>
            <w:noWrap/>
          </w:tcPr>
          <w:p>
            <w:pPr>
              <w:ind w:right="-1"/>
            </w:pPr>
            <w:r>
              <w:t>21,1</w:t>
            </w:r>
          </w:p>
        </w:tc>
        <w:tc>
          <w:tcPr>
            <w:tcW w:w="1419" w:type="dxa"/>
            <w:noWrap/>
          </w:tcPr>
          <w:p>
            <w:pPr>
              <w:ind w:right="-1"/>
            </w:pPr>
            <w:r>
              <w:t>108,6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87" w:type="dxa"/>
            <w:noWrap/>
          </w:tcPr>
          <w:p>
            <w:pPr>
              <w:ind w:right="-1"/>
              <w:rPr>
                <w:b/>
              </w:rPr>
            </w:pPr>
            <w:r>
              <w:rPr>
                <w:b/>
              </w:rPr>
              <w:t>6.</w:t>
            </w:r>
          </w:p>
        </w:tc>
        <w:tc>
          <w:tcPr>
            <w:tcW w:w="3772" w:type="dxa"/>
            <w:noWrap/>
          </w:tcPr>
          <w:p>
            <w:pPr>
              <w:ind w:right="-1"/>
              <w:rPr>
                <w:b/>
              </w:rPr>
            </w:pPr>
            <w:r>
              <w:rPr>
                <w:b/>
              </w:rPr>
              <w:t>Инженерная инфраструктура и благоустройство территории</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87" w:type="dxa"/>
            <w:noWrap/>
          </w:tcPr>
          <w:p>
            <w:pPr>
              <w:ind w:right="-1"/>
              <w:rPr>
                <w:b/>
              </w:rPr>
            </w:pPr>
            <w:r>
              <w:rPr>
                <w:b/>
              </w:rPr>
              <w:t>6.1.</w:t>
            </w:r>
          </w:p>
        </w:tc>
        <w:tc>
          <w:tcPr>
            <w:tcW w:w="3772" w:type="dxa"/>
            <w:noWrap/>
          </w:tcPr>
          <w:p>
            <w:pPr>
              <w:ind w:right="-1"/>
              <w:rPr>
                <w:b/>
              </w:rPr>
            </w:pPr>
            <w:r>
              <w:rPr>
                <w:b/>
              </w:rPr>
              <w:t>Водоснабжение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787" w:type="dxa"/>
            <w:noWrap/>
          </w:tcPr>
          <w:p>
            <w:pPr>
              <w:ind w:right="-1"/>
            </w:pPr>
            <w:r>
              <w:t>6.1.1</w:t>
            </w:r>
          </w:p>
        </w:tc>
        <w:tc>
          <w:tcPr>
            <w:tcW w:w="3772" w:type="dxa"/>
            <w:noWrap/>
          </w:tcPr>
          <w:p>
            <w:pPr>
              <w:ind w:right="-1"/>
            </w:pPr>
            <w:r>
              <w:t>Водопотребление – всего</w:t>
            </w:r>
          </w:p>
        </w:tc>
        <w:tc>
          <w:tcPr>
            <w:tcW w:w="1417" w:type="dxa"/>
            <w:noWrap/>
          </w:tcPr>
          <w:p>
            <w:pPr>
              <w:ind w:right="-1"/>
            </w:pPr>
            <w:r>
              <w:t>м</w:t>
            </w:r>
            <w:r>
              <w:rPr>
                <w:vertAlign w:val="superscript"/>
              </w:rPr>
              <w:t>3</w:t>
            </w:r>
            <w:r>
              <w:t>/сутки</w:t>
            </w:r>
          </w:p>
        </w:tc>
        <w:tc>
          <w:tcPr>
            <w:tcW w:w="2713" w:type="dxa"/>
            <w:gridSpan w:val="2"/>
            <w:noWrap/>
          </w:tcPr>
          <w:p>
            <w:pPr>
              <w:ind w:right="-1"/>
            </w:pPr>
            <w:r>
              <w:t>502,5</w:t>
            </w:r>
          </w:p>
        </w:tc>
        <w:tc>
          <w:tcPr>
            <w:tcW w:w="1419" w:type="dxa"/>
            <w:noWrap/>
          </w:tcPr>
          <w:p>
            <w:pPr>
              <w:ind w:right="-1"/>
            </w:pPr>
            <w:r>
              <w:t>6454,0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87" w:type="dxa"/>
            <w:noWrap/>
          </w:tcPr>
          <w:p>
            <w:pPr>
              <w:ind w:right="-1"/>
            </w:pPr>
          </w:p>
        </w:tc>
        <w:tc>
          <w:tcPr>
            <w:tcW w:w="3772" w:type="dxa"/>
            <w:noWrap/>
          </w:tcPr>
          <w:p>
            <w:pPr>
              <w:ind w:right="-1"/>
            </w:pPr>
            <w:r>
              <w:t>в том числе: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787" w:type="dxa"/>
            <w:noWrap/>
          </w:tcPr>
          <w:p>
            <w:pPr>
              <w:ind w:right="-1"/>
            </w:pPr>
          </w:p>
        </w:tc>
        <w:tc>
          <w:tcPr>
            <w:tcW w:w="3772" w:type="dxa"/>
            <w:noWrap/>
          </w:tcPr>
          <w:p>
            <w:pPr>
              <w:ind w:right="-1"/>
            </w:pPr>
            <w:r>
              <w:t>на хозяйственно-питьевые нужды</w:t>
            </w:r>
          </w:p>
        </w:tc>
        <w:tc>
          <w:tcPr>
            <w:tcW w:w="1417" w:type="dxa"/>
            <w:noWrap/>
          </w:tcPr>
          <w:p>
            <w:pPr>
              <w:ind w:right="-1"/>
            </w:pPr>
            <w:r>
              <w:t>м</w:t>
            </w:r>
            <w:r>
              <w:rPr>
                <w:vertAlign w:val="superscript"/>
              </w:rPr>
              <w:t>3</w:t>
            </w:r>
            <w:r>
              <w:t>/сутки</w:t>
            </w:r>
          </w:p>
        </w:tc>
        <w:tc>
          <w:tcPr>
            <w:tcW w:w="2713" w:type="dxa"/>
            <w:gridSpan w:val="2"/>
            <w:noWrap/>
          </w:tcPr>
          <w:p>
            <w:pPr>
              <w:ind w:right="-1"/>
            </w:pPr>
            <w:r>
              <w:t>502,5</w:t>
            </w:r>
          </w:p>
        </w:tc>
        <w:tc>
          <w:tcPr>
            <w:tcW w:w="1419" w:type="dxa"/>
            <w:noWrap/>
          </w:tcPr>
          <w:p>
            <w:pPr>
              <w:ind w:right="-1"/>
            </w:pPr>
            <w:r>
              <w:t>6454,0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87" w:type="dxa"/>
            <w:noWrap/>
          </w:tcPr>
          <w:p>
            <w:pPr>
              <w:ind w:right="-1"/>
            </w:pPr>
            <w:r>
              <w:t>6.1.2</w:t>
            </w:r>
          </w:p>
        </w:tc>
        <w:tc>
          <w:tcPr>
            <w:tcW w:w="3772" w:type="dxa"/>
            <w:noWrap/>
          </w:tcPr>
          <w:p>
            <w:pPr>
              <w:ind w:right="-1"/>
            </w:pPr>
            <w:r>
              <w:t xml:space="preserve">Производительность водозабора </w:t>
            </w:r>
          </w:p>
        </w:tc>
        <w:tc>
          <w:tcPr>
            <w:tcW w:w="1417" w:type="dxa"/>
            <w:noWrap/>
          </w:tcPr>
          <w:p>
            <w:pPr>
              <w:ind w:right="-1"/>
            </w:pPr>
            <w:r>
              <w:t>м</w:t>
            </w:r>
            <w:r>
              <w:rPr>
                <w:vertAlign w:val="superscript"/>
              </w:rPr>
              <w:t>3</w:t>
            </w:r>
            <w:r>
              <w:t>/сутки</w:t>
            </w:r>
          </w:p>
        </w:tc>
        <w:tc>
          <w:tcPr>
            <w:tcW w:w="4132" w:type="dxa"/>
            <w:gridSpan w:val="3"/>
            <w:noWrap/>
          </w:tcPr>
          <w:p>
            <w:pPr>
              <w:ind w:right="-1"/>
            </w:pPr>
            <w:r>
              <w:t>Ейский групповой  водопровод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pPr>
            <w:r>
              <w:t>6.1.3</w:t>
            </w:r>
          </w:p>
        </w:tc>
        <w:tc>
          <w:tcPr>
            <w:tcW w:w="3772" w:type="dxa"/>
            <w:noWrap/>
          </w:tcPr>
          <w:p>
            <w:pPr>
              <w:ind w:right="-1"/>
            </w:pPr>
            <w:r>
              <w:t>Среднесуточное водопотребление на хозяйственно-питьевые нужды</w:t>
            </w:r>
          </w:p>
        </w:tc>
        <w:tc>
          <w:tcPr>
            <w:tcW w:w="1417" w:type="dxa"/>
            <w:noWrap/>
          </w:tcPr>
          <w:p>
            <w:pPr>
              <w:ind w:right="-1"/>
            </w:pPr>
            <w:r>
              <w:t>л./сутки на чел.</w:t>
            </w:r>
          </w:p>
        </w:tc>
        <w:tc>
          <w:tcPr>
            <w:tcW w:w="2713" w:type="dxa"/>
            <w:gridSpan w:val="2"/>
            <w:noWrap/>
          </w:tcPr>
          <w:p>
            <w:pPr>
              <w:ind w:right="-1"/>
            </w:pPr>
          </w:p>
        </w:tc>
        <w:tc>
          <w:tcPr>
            <w:tcW w:w="1419" w:type="dxa"/>
            <w:noWrap/>
          </w:tcPr>
          <w:p>
            <w:pPr>
              <w:ind w:right="-1"/>
            </w:pPr>
            <w:r>
              <w:t>200,0-300,0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787" w:type="dxa"/>
            <w:noWrap/>
          </w:tcPr>
          <w:p>
            <w:pPr>
              <w:ind w:right="-1"/>
            </w:pPr>
            <w:r>
              <w:t>6.1.4</w:t>
            </w:r>
          </w:p>
        </w:tc>
        <w:tc>
          <w:tcPr>
            <w:tcW w:w="3772" w:type="dxa"/>
            <w:noWrap/>
          </w:tcPr>
          <w:p>
            <w:pPr>
              <w:ind w:right="-1"/>
            </w:pPr>
            <w:r>
              <w:t>Протяженность сетей</w:t>
            </w:r>
          </w:p>
        </w:tc>
        <w:tc>
          <w:tcPr>
            <w:tcW w:w="1417" w:type="dxa"/>
            <w:noWrap/>
          </w:tcPr>
          <w:p>
            <w:pPr>
              <w:ind w:right="-1" w:firstLine="33"/>
            </w:pPr>
            <w:r>
              <w:t>км.</w:t>
            </w:r>
          </w:p>
        </w:tc>
        <w:tc>
          <w:tcPr>
            <w:tcW w:w="2713" w:type="dxa"/>
            <w:gridSpan w:val="2"/>
            <w:noWrap/>
          </w:tcPr>
          <w:p>
            <w:pPr>
              <w:ind w:right="-1"/>
            </w:pPr>
          </w:p>
        </w:tc>
        <w:tc>
          <w:tcPr>
            <w:tcW w:w="1419" w:type="dxa"/>
            <w:noWrap/>
          </w:tcPr>
          <w:p>
            <w:pPr>
              <w:ind w:right="-1"/>
            </w:pPr>
            <w: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rPr>
                <w:b/>
              </w:rPr>
            </w:pPr>
            <w:r>
              <w:rPr>
                <w:b/>
              </w:rPr>
              <w:t>6.2.</w:t>
            </w:r>
          </w:p>
        </w:tc>
        <w:tc>
          <w:tcPr>
            <w:tcW w:w="3772" w:type="dxa"/>
            <w:noWrap/>
          </w:tcPr>
          <w:p>
            <w:pPr>
              <w:ind w:right="-1"/>
              <w:rPr>
                <w:b/>
              </w:rPr>
            </w:pPr>
            <w:r>
              <w:rPr>
                <w:b/>
              </w:rPr>
              <w:t>Канализация</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787" w:type="dxa"/>
            <w:noWrap/>
          </w:tcPr>
          <w:p>
            <w:pPr>
              <w:ind w:right="-1"/>
            </w:pPr>
            <w:r>
              <w:t>6.2.1</w:t>
            </w:r>
          </w:p>
        </w:tc>
        <w:tc>
          <w:tcPr>
            <w:tcW w:w="3772" w:type="dxa"/>
            <w:noWrap/>
          </w:tcPr>
          <w:p>
            <w:pPr>
              <w:ind w:right="-1"/>
            </w:pPr>
            <w:r>
              <w:t>Общее поступление сточных вод – всего</w:t>
            </w:r>
          </w:p>
        </w:tc>
        <w:tc>
          <w:tcPr>
            <w:tcW w:w="1417" w:type="dxa"/>
            <w:noWrap/>
          </w:tcPr>
          <w:p>
            <w:pPr>
              <w:ind w:right="-1"/>
            </w:pPr>
            <w:r>
              <w:t>м</w:t>
            </w:r>
            <w:r>
              <w:rPr>
                <w:vertAlign w:val="superscript"/>
              </w:rPr>
              <w:t>3</w:t>
            </w:r>
            <w:r>
              <w:t>/сутки</w:t>
            </w:r>
          </w:p>
        </w:tc>
        <w:tc>
          <w:tcPr>
            <w:tcW w:w="2713" w:type="dxa"/>
            <w:gridSpan w:val="2"/>
            <w:noWrap/>
          </w:tcPr>
          <w:p>
            <w:pPr>
              <w:ind w:right="-1"/>
            </w:pPr>
            <w:r>
              <w:t>499,0</w:t>
            </w:r>
          </w:p>
        </w:tc>
        <w:tc>
          <w:tcPr>
            <w:tcW w:w="1419" w:type="dxa"/>
            <w:noWrap/>
          </w:tcPr>
          <w:p>
            <w:pPr>
              <w:ind w:right="-1"/>
            </w:pPr>
            <w:r>
              <w:t>5684,0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87" w:type="dxa"/>
            <w:noWrap/>
          </w:tcPr>
          <w:p>
            <w:pPr>
              <w:ind w:right="-1"/>
            </w:pPr>
          </w:p>
        </w:tc>
        <w:tc>
          <w:tcPr>
            <w:tcW w:w="3772" w:type="dxa"/>
            <w:noWrap/>
          </w:tcPr>
          <w:p>
            <w:pPr>
              <w:ind w:right="-1"/>
            </w:pPr>
            <w:r>
              <w:t>в том числе: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87" w:type="dxa"/>
            <w:noWrap/>
          </w:tcPr>
          <w:p>
            <w:pPr>
              <w:ind w:right="-1"/>
            </w:pPr>
          </w:p>
        </w:tc>
        <w:tc>
          <w:tcPr>
            <w:tcW w:w="3772" w:type="dxa"/>
            <w:noWrap/>
          </w:tcPr>
          <w:p>
            <w:pPr>
              <w:ind w:right="-1"/>
            </w:pPr>
            <w:r>
              <w:t>- хозяйственно-бытовые стоки</w:t>
            </w:r>
          </w:p>
        </w:tc>
        <w:tc>
          <w:tcPr>
            <w:tcW w:w="1417" w:type="dxa"/>
            <w:noWrap/>
          </w:tcPr>
          <w:p>
            <w:pPr>
              <w:ind w:right="-1"/>
            </w:pPr>
            <w:r>
              <w:t>м</w:t>
            </w:r>
            <w:r>
              <w:rPr>
                <w:vertAlign w:val="superscript"/>
              </w:rPr>
              <w:t>3</w:t>
            </w:r>
            <w:r>
              <w:t>/сутки</w:t>
            </w:r>
          </w:p>
        </w:tc>
        <w:tc>
          <w:tcPr>
            <w:tcW w:w="2713" w:type="dxa"/>
            <w:gridSpan w:val="2"/>
            <w:noWrap/>
          </w:tcPr>
          <w:p>
            <w:pPr>
              <w:ind w:right="-1"/>
            </w:pPr>
            <w:r>
              <w:t>499,0</w:t>
            </w:r>
          </w:p>
        </w:tc>
        <w:tc>
          <w:tcPr>
            <w:tcW w:w="1419" w:type="dxa"/>
            <w:noWrap/>
          </w:tcPr>
          <w:p>
            <w:pPr>
              <w:ind w:right="-1"/>
            </w:pPr>
            <w:r>
              <w:t>5684,0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87" w:type="dxa"/>
            <w:noWrap/>
          </w:tcPr>
          <w:p>
            <w:pPr>
              <w:ind w:right="-1"/>
            </w:pPr>
            <w:r>
              <w:t>6.2.2</w:t>
            </w:r>
          </w:p>
        </w:tc>
        <w:tc>
          <w:tcPr>
            <w:tcW w:w="3772" w:type="dxa"/>
            <w:noWrap/>
          </w:tcPr>
          <w:p>
            <w:pPr>
              <w:ind w:right="-1"/>
            </w:pPr>
            <w:r>
              <w:t>Производительность очистных сооружений канализации</w:t>
            </w:r>
          </w:p>
        </w:tc>
        <w:tc>
          <w:tcPr>
            <w:tcW w:w="1417" w:type="dxa"/>
            <w:noWrap/>
          </w:tcPr>
          <w:p>
            <w:pPr>
              <w:ind w:right="-1"/>
            </w:pPr>
            <w:r>
              <w:t>м</w:t>
            </w:r>
            <w:r>
              <w:rPr>
                <w:vertAlign w:val="superscript"/>
              </w:rPr>
              <w:t>3</w:t>
            </w:r>
            <w:r>
              <w:t>/сутки</w:t>
            </w:r>
          </w:p>
        </w:tc>
        <w:tc>
          <w:tcPr>
            <w:tcW w:w="4132" w:type="dxa"/>
            <w:gridSpan w:val="3"/>
            <w:noWrap/>
          </w:tcPr>
          <w:p>
            <w:pPr>
              <w:ind w:right="-1"/>
            </w:pPr>
            <w:r>
              <w:t>Головные очистные сооружения игорной зоны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7" w:type="dxa"/>
            <w:noWrap/>
          </w:tcPr>
          <w:p>
            <w:pPr>
              <w:ind w:right="-1"/>
            </w:pPr>
            <w:r>
              <w:t>6.2.3</w:t>
            </w:r>
          </w:p>
        </w:tc>
        <w:tc>
          <w:tcPr>
            <w:tcW w:w="3772" w:type="dxa"/>
            <w:noWrap/>
          </w:tcPr>
          <w:p>
            <w:pPr>
              <w:ind w:right="-1"/>
            </w:pPr>
            <w:r>
              <w:t>Протяженность сетей канализации</w:t>
            </w:r>
          </w:p>
          <w:p>
            <w:pPr>
              <w:ind w:right="-1"/>
            </w:pPr>
          </w:p>
        </w:tc>
        <w:tc>
          <w:tcPr>
            <w:tcW w:w="1417" w:type="dxa"/>
            <w:noWrap/>
          </w:tcPr>
          <w:p>
            <w:pPr>
              <w:ind w:right="-1" w:firstLine="33"/>
            </w:pPr>
            <w:r>
              <w:t>км.</w:t>
            </w:r>
          </w:p>
        </w:tc>
        <w:tc>
          <w:tcPr>
            <w:tcW w:w="2713" w:type="dxa"/>
            <w:gridSpan w:val="2"/>
            <w:noWrap/>
          </w:tcPr>
          <w:p>
            <w:pPr>
              <w:ind w:right="-1"/>
            </w:pPr>
          </w:p>
        </w:tc>
        <w:tc>
          <w:tcPr>
            <w:tcW w:w="1419" w:type="dxa"/>
            <w:noWrap/>
          </w:tcPr>
          <w:p>
            <w:pPr>
              <w:ind w:right="-1"/>
            </w:pPr>
            <w:r>
              <w:t>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rPr>
                <w:b/>
              </w:rPr>
            </w:pPr>
            <w:r>
              <w:rPr>
                <w:b/>
              </w:rPr>
              <w:t>6.3.</w:t>
            </w:r>
          </w:p>
        </w:tc>
        <w:tc>
          <w:tcPr>
            <w:tcW w:w="3772" w:type="dxa"/>
            <w:noWrap/>
          </w:tcPr>
          <w:p>
            <w:pPr>
              <w:ind w:right="-1"/>
              <w:rPr>
                <w:b/>
              </w:rPr>
            </w:pPr>
            <w:r>
              <w:rPr>
                <w:b/>
              </w:rPr>
              <w:t>Теплоснабжение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87" w:type="dxa"/>
            <w:noWrap/>
          </w:tcPr>
          <w:p>
            <w:pPr>
              <w:ind w:right="-1"/>
            </w:pPr>
            <w:r>
              <w:t>6.3.1</w:t>
            </w:r>
          </w:p>
        </w:tc>
        <w:tc>
          <w:tcPr>
            <w:tcW w:w="3772" w:type="dxa"/>
            <w:noWrap/>
          </w:tcPr>
          <w:p>
            <w:pPr>
              <w:ind w:right="-1"/>
            </w:pPr>
            <w:r>
              <w:t>Потребление тепла, всего</w:t>
            </w:r>
          </w:p>
        </w:tc>
        <w:tc>
          <w:tcPr>
            <w:tcW w:w="1417" w:type="dxa"/>
            <w:noWrap/>
          </w:tcPr>
          <w:p>
            <w:pPr>
              <w:ind w:right="-1"/>
            </w:pPr>
            <w:r>
              <w:t>млн. Гкал/год</w:t>
            </w:r>
          </w:p>
        </w:tc>
        <w:tc>
          <w:tcPr>
            <w:tcW w:w="2713" w:type="dxa"/>
            <w:gridSpan w:val="2"/>
            <w:noWrap/>
          </w:tcPr>
          <w:p>
            <w:pPr>
              <w:ind w:right="-1"/>
            </w:pPr>
            <w:r>
              <w:t>0,010166</w:t>
            </w:r>
          </w:p>
        </w:tc>
        <w:tc>
          <w:tcPr>
            <w:tcW w:w="1419" w:type="dxa"/>
            <w:noWrap/>
          </w:tcPr>
          <w:p>
            <w:pPr>
              <w:ind w:right="-1"/>
            </w:pPr>
            <w:r>
              <w:t>0,061181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87" w:type="dxa"/>
            <w:noWrap/>
          </w:tcPr>
          <w:p>
            <w:pPr>
              <w:ind w:right="-1"/>
            </w:pPr>
          </w:p>
        </w:tc>
        <w:tc>
          <w:tcPr>
            <w:tcW w:w="3772" w:type="dxa"/>
            <w:noWrap/>
          </w:tcPr>
          <w:p>
            <w:pPr>
              <w:ind w:right="-1"/>
            </w:pPr>
            <w:r>
              <w:t xml:space="preserve">в том числе на коммунально-бытовые </w:t>
            </w:r>
          </w:p>
          <w:p>
            <w:pPr>
              <w:ind w:right="-1"/>
            </w:pPr>
            <w:r>
              <w:t>нужды:</w:t>
            </w:r>
          </w:p>
        </w:tc>
        <w:tc>
          <w:tcPr>
            <w:tcW w:w="1417" w:type="dxa"/>
            <w:noWrap/>
          </w:tcPr>
          <w:p>
            <w:pPr>
              <w:ind w:right="-1" w:firstLine="33"/>
            </w:pPr>
            <w:r>
              <w:t>млн. Гкал/год</w:t>
            </w:r>
          </w:p>
        </w:tc>
        <w:tc>
          <w:tcPr>
            <w:tcW w:w="2713" w:type="dxa"/>
            <w:gridSpan w:val="2"/>
            <w:noWrap/>
          </w:tcPr>
          <w:p>
            <w:pPr>
              <w:ind w:right="-1"/>
            </w:pPr>
            <w:r>
              <w:t>0,010166</w:t>
            </w:r>
          </w:p>
        </w:tc>
        <w:tc>
          <w:tcPr>
            <w:tcW w:w="1419" w:type="dxa"/>
            <w:noWrap/>
          </w:tcPr>
          <w:p>
            <w:pPr>
              <w:ind w:right="-1"/>
            </w:pPr>
            <w:r>
              <w:t>0,061181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87" w:type="dxa"/>
            <w:noWrap/>
          </w:tcPr>
          <w:p>
            <w:pPr>
              <w:ind w:right="-1"/>
            </w:pPr>
            <w:r>
              <w:t>6.3.2</w:t>
            </w:r>
          </w:p>
        </w:tc>
        <w:tc>
          <w:tcPr>
            <w:tcW w:w="3772" w:type="dxa"/>
            <w:noWrap/>
          </w:tcPr>
          <w:p>
            <w:pPr>
              <w:ind w:right="-1"/>
            </w:pPr>
            <w:r>
              <w:t>Производительность централизованных источников теплоснабжения – всего</w:t>
            </w:r>
          </w:p>
        </w:tc>
        <w:tc>
          <w:tcPr>
            <w:tcW w:w="1417" w:type="dxa"/>
            <w:noWrap/>
          </w:tcPr>
          <w:p>
            <w:pPr>
              <w:ind w:right="-1"/>
            </w:pPr>
            <w:r>
              <w:t>Гкал/год</w:t>
            </w:r>
          </w:p>
        </w:tc>
        <w:tc>
          <w:tcPr>
            <w:tcW w:w="2713" w:type="dxa"/>
            <w:gridSpan w:val="2"/>
            <w:noWrap/>
          </w:tcPr>
          <w:p>
            <w:pPr>
              <w:ind w:right="-1"/>
            </w:pPr>
            <w:r>
              <w:t>5,700</w:t>
            </w:r>
          </w:p>
        </w:tc>
        <w:tc>
          <w:tcPr>
            <w:tcW w:w="1419" w:type="dxa"/>
            <w:noWrap/>
          </w:tcPr>
          <w:p>
            <w:pPr>
              <w:ind w:right="-1"/>
            </w:pPr>
            <w:r>
              <w:t>32,577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787" w:type="dxa"/>
            <w:noWrap/>
          </w:tcPr>
          <w:p>
            <w:pPr>
              <w:ind w:right="-1"/>
            </w:pPr>
          </w:p>
        </w:tc>
        <w:tc>
          <w:tcPr>
            <w:tcW w:w="3772" w:type="dxa"/>
            <w:noWrap/>
          </w:tcPr>
          <w:p>
            <w:pPr>
              <w:ind w:right="-1"/>
            </w:pPr>
            <w:r>
              <w:t>в том числе: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787" w:type="dxa"/>
            <w:noWrap/>
          </w:tcPr>
          <w:p>
            <w:pPr>
              <w:ind w:right="-1"/>
            </w:pPr>
          </w:p>
        </w:tc>
        <w:tc>
          <w:tcPr>
            <w:tcW w:w="3772" w:type="dxa"/>
            <w:noWrap/>
          </w:tcPr>
          <w:p>
            <w:pPr>
              <w:ind w:right="-1"/>
            </w:pPr>
            <w:r>
              <w:t>ТЭЦ (АТЭС, АСТ)</w:t>
            </w:r>
          </w:p>
        </w:tc>
        <w:tc>
          <w:tcPr>
            <w:tcW w:w="1417" w:type="dxa"/>
            <w:noWrap/>
          </w:tcPr>
          <w:p>
            <w:pPr>
              <w:ind w:right="-1"/>
            </w:pPr>
            <w:r>
              <w:t>Гкал/год</w:t>
            </w:r>
          </w:p>
        </w:tc>
        <w:tc>
          <w:tcPr>
            <w:tcW w:w="2713" w:type="dxa"/>
            <w:gridSpan w:val="2"/>
            <w:noWrap/>
          </w:tcPr>
          <w:p>
            <w:pPr>
              <w:ind w:right="-1"/>
            </w:pPr>
            <w:r>
              <w:t>-</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pPr>
          </w:p>
        </w:tc>
        <w:tc>
          <w:tcPr>
            <w:tcW w:w="3772" w:type="dxa"/>
            <w:noWrap/>
          </w:tcPr>
          <w:p>
            <w:pPr>
              <w:ind w:right="-1"/>
            </w:pPr>
            <w:r>
              <w:t>районные котельные</w:t>
            </w:r>
          </w:p>
        </w:tc>
        <w:tc>
          <w:tcPr>
            <w:tcW w:w="1417" w:type="dxa"/>
            <w:noWrap/>
          </w:tcPr>
          <w:p>
            <w:pPr>
              <w:ind w:right="-1"/>
            </w:pPr>
            <w:r>
              <w:t>Гкал/год</w:t>
            </w:r>
          </w:p>
        </w:tc>
        <w:tc>
          <w:tcPr>
            <w:tcW w:w="2713" w:type="dxa"/>
            <w:gridSpan w:val="2"/>
            <w:noWrap/>
          </w:tcPr>
          <w:p>
            <w:pPr>
              <w:ind w:right="-1"/>
            </w:pPr>
            <w:r>
              <w:t>5,700</w:t>
            </w:r>
          </w:p>
        </w:tc>
        <w:tc>
          <w:tcPr>
            <w:tcW w:w="1419" w:type="dxa"/>
            <w:noWrap/>
          </w:tcPr>
          <w:p>
            <w:pPr>
              <w:ind w:right="-1"/>
            </w:pPr>
            <w:r>
              <w:t>32,577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787" w:type="dxa"/>
            <w:noWrap/>
          </w:tcPr>
          <w:p>
            <w:pPr>
              <w:ind w:right="-1"/>
            </w:pPr>
            <w:r>
              <w:t>6.3.3</w:t>
            </w:r>
          </w:p>
        </w:tc>
        <w:tc>
          <w:tcPr>
            <w:tcW w:w="3772" w:type="dxa"/>
            <w:noWrap/>
          </w:tcPr>
          <w:p>
            <w:pPr>
              <w:ind w:right="-1"/>
            </w:pPr>
            <w:r>
              <w:t>Протяженность сетей</w:t>
            </w:r>
          </w:p>
        </w:tc>
        <w:tc>
          <w:tcPr>
            <w:tcW w:w="1417" w:type="dxa"/>
            <w:noWrap/>
          </w:tcPr>
          <w:p>
            <w:pPr>
              <w:ind w:right="-1" w:firstLine="33"/>
            </w:pPr>
            <w:r>
              <w:t>км.</w:t>
            </w:r>
          </w:p>
        </w:tc>
        <w:tc>
          <w:tcPr>
            <w:tcW w:w="2713" w:type="dxa"/>
            <w:gridSpan w:val="2"/>
            <w:noWrap/>
          </w:tcPr>
          <w:p>
            <w:pPr>
              <w:ind w:right="-1"/>
            </w:pPr>
          </w:p>
        </w:tc>
        <w:tc>
          <w:tcPr>
            <w:tcW w:w="1419" w:type="dxa"/>
            <w:noWrap/>
          </w:tcPr>
          <w:p>
            <w:pPr>
              <w:ind w:right="-1"/>
            </w:pPr>
            <w:r>
              <w:t>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7" w:type="dxa"/>
            <w:noWrap/>
          </w:tcPr>
          <w:p>
            <w:pPr>
              <w:ind w:right="-1"/>
              <w:rPr>
                <w:b/>
              </w:rPr>
            </w:pPr>
            <w:r>
              <w:rPr>
                <w:b/>
              </w:rPr>
              <w:t>6.4.</w:t>
            </w:r>
          </w:p>
        </w:tc>
        <w:tc>
          <w:tcPr>
            <w:tcW w:w="3772" w:type="dxa"/>
            <w:noWrap/>
          </w:tcPr>
          <w:p>
            <w:pPr>
              <w:ind w:right="-1"/>
              <w:rPr>
                <w:b/>
              </w:rPr>
            </w:pPr>
            <w:r>
              <w:rPr>
                <w:b/>
              </w:rPr>
              <w:t>Газоснабжение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87" w:type="dxa"/>
            <w:noWrap/>
          </w:tcPr>
          <w:p>
            <w:pPr>
              <w:ind w:right="-1"/>
            </w:pPr>
            <w:r>
              <w:t>6.4.1</w:t>
            </w:r>
          </w:p>
        </w:tc>
        <w:tc>
          <w:tcPr>
            <w:tcW w:w="3772" w:type="dxa"/>
            <w:noWrap/>
          </w:tcPr>
          <w:p>
            <w:pPr>
              <w:ind w:right="-1"/>
            </w:pPr>
            <w:r>
              <w:t xml:space="preserve">Удельный вес газа в топливном балансе </w:t>
            </w:r>
          </w:p>
          <w:p>
            <w:pPr>
              <w:ind w:right="-1"/>
            </w:pPr>
            <w:r>
              <w:t>населенного пункта</w:t>
            </w:r>
          </w:p>
        </w:tc>
        <w:tc>
          <w:tcPr>
            <w:tcW w:w="1417" w:type="dxa"/>
            <w:noWrap/>
          </w:tcPr>
          <w:p>
            <w:pPr>
              <w:ind w:right="-1" w:firstLine="33"/>
            </w:pPr>
            <w:r>
              <w:t>%</w:t>
            </w:r>
          </w:p>
        </w:tc>
        <w:tc>
          <w:tcPr>
            <w:tcW w:w="2713" w:type="dxa"/>
            <w:gridSpan w:val="2"/>
            <w:noWrap/>
          </w:tcPr>
          <w:p>
            <w:pPr>
              <w:ind w:right="-1"/>
            </w:pPr>
            <w:r>
              <w:t>80</w:t>
            </w:r>
          </w:p>
        </w:tc>
        <w:tc>
          <w:tcPr>
            <w:tcW w:w="1419" w:type="dxa"/>
            <w:noWrap/>
          </w:tcPr>
          <w:p>
            <w:pPr>
              <w:ind w:right="-1"/>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787" w:type="dxa"/>
            <w:noWrap/>
          </w:tcPr>
          <w:p>
            <w:pPr>
              <w:ind w:right="-1"/>
            </w:pPr>
            <w:r>
              <w:t>6.4.2</w:t>
            </w:r>
          </w:p>
        </w:tc>
        <w:tc>
          <w:tcPr>
            <w:tcW w:w="3772" w:type="dxa"/>
            <w:noWrap/>
          </w:tcPr>
          <w:p>
            <w:pPr>
              <w:ind w:right="-1"/>
            </w:pPr>
            <w:r>
              <w:t>Потребление газа – всего</w:t>
            </w:r>
          </w:p>
        </w:tc>
        <w:tc>
          <w:tcPr>
            <w:tcW w:w="1417" w:type="dxa"/>
            <w:noWrap/>
          </w:tcPr>
          <w:p>
            <w:pPr>
              <w:ind w:right="-1" w:firstLine="33"/>
            </w:pPr>
            <w:r>
              <w:t>млн. м</w:t>
            </w:r>
            <w:r>
              <w:rPr>
                <w:vertAlign w:val="superscript"/>
              </w:rPr>
              <w:t>3</w:t>
            </w:r>
            <w:r>
              <w:t>/год</w:t>
            </w:r>
          </w:p>
        </w:tc>
        <w:tc>
          <w:tcPr>
            <w:tcW w:w="2713" w:type="dxa"/>
            <w:gridSpan w:val="2"/>
            <w:noWrap/>
          </w:tcPr>
          <w:p>
            <w:pPr>
              <w:ind w:right="-1"/>
            </w:pPr>
            <w:r>
              <w:t>4,38</w:t>
            </w:r>
          </w:p>
        </w:tc>
        <w:tc>
          <w:tcPr>
            <w:tcW w:w="1419" w:type="dxa"/>
            <w:noWrap/>
          </w:tcPr>
          <w:p>
            <w:pPr>
              <w:ind w:right="-1"/>
            </w:pPr>
            <w:r>
              <w:t>33,57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787" w:type="dxa"/>
            <w:noWrap/>
          </w:tcPr>
          <w:p>
            <w:pPr>
              <w:ind w:right="-1"/>
            </w:pPr>
          </w:p>
        </w:tc>
        <w:tc>
          <w:tcPr>
            <w:tcW w:w="3772" w:type="dxa"/>
            <w:noWrap/>
          </w:tcPr>
          <w:p>
            <w:pPr>
              <w:ind w:right="-1"/>
            </w:pPr>
            <w:r>
              <w:t>в том числе: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87" w:type="dxa"/>
            <w:noWrap/>
          </w:tcPr>
          <w:p>
            <w:pPr>
              <w:ind w:right="-1"/>
            </w:pPr>
          </w:p>
        </w:tc>
        <w:tc>
          <w:tcPr>
            <w:tcW w:w="3772" w:type="dxa"/>
            <w:noWrap/>
          </w:tcPr>
          <w:p>
            <w:r>
              <w:t>- на коммунально-бытовые нужды</w:t>
            </w:r>
          </w:p>
        </w:tc>
        <w:tc>
          <w:tcPr>
            <w:tcW w:w="1417" w:type="dxa"/>
            <w:noWrap/>
          </w:tcPr>
          <w:p>
            <w:pPr>
              <w:ind w:right="-1" w:firstLine="33"/>
            </w:pPr>
            <w:r>
              <w:t>млн. м</w:t>
            </w:r>
            <w:r>
              <w:rPr>
                <w:vertAlign w:val="superscript"/>
              </w:rPr>
              <w:t>3</w:t>
            </w:r>
            <w:r>
              <w:t>/год</w:t>
            </w:r>
          </w:p>
        </w:tc>
        <w:tc>
          <w:tcPr>
            <w:tcW w:w="2713" w:type="dxa"/>
            <w:gridSpan w:val="2"/>
            <w:noWrap/>
          </w:tcPr>
          <w:p>
            <w:pPr>
              <w:ind w:right="-1"/>
            </w:pPr>
            <w:r>
              <w:t>2,94</w:t>
            </w:r>
          </w:p>
        </w:tc>
        <w:tc>
          <w:tcPr>
            <w:tcW w:w="1419" w:type="dxa"/>
            <w:noWrap/>
          </w:tcPr>
          <w:p>
            <w:pPr>
              <w:ind w:right="-1"/>
            </w:pPr>
            <w:r>
              <w:t>22,54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787" w:type="dxa"/>
            <w:noWrap/>
          </w:tcPr>
          <w:p>
            <w:pPr>
              <w:ind w:right="-1"/>
            </w:pPr>
          </w:p>
        </w:tc>
        <w:tc>
          <w:tcPr>
            <w:tcW w:w="3772" w:type="dxa"/>
            <w:noWrap/>
          </w:tcPr>
          <w:p>
            <w:r>
              <w:t>- на котельные и общественные здания</w:t>
            </w:r>
          </w:p>
        </w:tc>
        <w:tc>
          <w:tcPr>
            <w:tcW w:w="1417" w:type="dxa"/>
            <w:noWrap/>
          </w:tcPr>
          <w:p>
            <w:pPr>
              <w:ind w:right="-1" w:firstLine="33"/>
            </w:pPr>
            <w:r>
              <w:t>млн. м</w:t>
            </w:r>
            <w:r>
              <w:rPr>
                <w:vertAlign w:val="superscript"/>
              </w:rPr>
              <w:t>3</w:t>
            </w:r>
            <w:r>
              <w:t>/год</w:t>
            </w:r>
          </w:p>
        </w:tc>
        <w:tc>
          <w:tcPr>
            <w:tcW w:w="2713" w:type="dxa"/>
            <w:gridSpan w:val="2"/>
            <w:noWrap/>
          </w:tcPr>
          <w:p>
            <w:pPr>
              <w:ind w:right="-1"/>
            </w:pPr>
            <w:r>
              <w:t>1,44</w:t>
            </w:r>
          </w:p>
        </w:tc>
        <w:tc>
          <w:tcPr>
            <w:tcW w:w="1419" w:type="dxa"/>
            <w:noWrap/>
          </w:tcPr>
          <w:p>
            <w:pPr>
              <w:ind w:right="-1"/>
            </w:pPr>
            <w:r>
              <w:t>11,032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87" w:type="dxa"/>
            <w:noWrap/>
          </w:tcPr>
          <w:p>
            <w:pPr>
              <w:ind w:right="-1"/>
            </w:pPr>
            <w:r>
              <w:t>6.4.3</w:t>
            </w:r>
          </w:p>
        </w:tc>
        <w:tc>
          <w:tcPr>
            <w:tcW w:w="3772" w:type="dxa"/>
            <w:noWrap/>
          </w:tcPr>
          <w:p>
            <w:pPr>
              <w:ind w:right="-1"/>
            </w:pPr>
            <w:r>
              <w:t>Источники подачи газа</w:t>
            </w:r>
          </w:p>
        </w:tc>
        <w:tc>
          <w:tcPr>
            <w:tcW w:w="1417" w:type="dxa"/>
            <w:noWrap/>
          </w:tcPr>
          <w:p>
            <w:pPr>
              <w:ind w:right="-1" w:firstLine="33"/>
            </w:pPr>
          </w:p>
        </w:tc>
        <w:tc>
          <w:tcPr>
            <w:tcW w:w="2713" w:type="dxa"/>
            <w:gridSpan w:val="2"/>
            <w:noWrap/>
          </w:tcPr>
          <w:p>
            <w:pPr>
              <w:ind w:right="-1"/>
              <w:rPr>
                <w:b/>
              </w:rPr>
            </w:pPr>
            <w:r>
              <w:rPr>
                <w:b/>
              </w:rPr>
              <w:t>ГРС, ШРП</w:t>
            </w:r>
          </w:p>
        </w:tc>
        <w:tc>
          <w:tcPr>
            <w:tcW w:w="1419" w:type="dxa"/>
            <w:noWrap/>
          </w:tcPr>
          <w:p>
            <w:pPr>
              <w:ind w:right="-1"/>
              <w:rPr>
                <w:b/>
              </w:rPr>
            </w:pPr>
            <w:r>
              <w:rPr>
                <w:b/>
              </w:rPr>
              <w:t>ГРС, ШРП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787" w:type="dxa"/>
            <w:noWrap/>
          </w:tcPr>
          <w:p>
            <w:pPr>
              <w:ind w:right="-1"/>
            </w:pPr>
            <w:r>
              <w:t>6.4.4</w:t>
            </w:r>
          </w:p>
        </w:tc>
        <w:tc>
          <w:tcPr>
            <w:tcW w:w="3772" w:type="dxa"/>
            <w:noWrap/>
          </w:tcPr>
          <w:p>
            <w:pPr>
              <w:ind w:right="-1"/>
            </w:pPr>
            <w:r>
              <w:t>Протяженность сетей высокого давления</w:t>
            </w:r>
          </w:p>
        </w:tc>
        <w:tc>
          <w:tcPr>
            <w:tcW w:w="1417" w:type="dxa"/>
            <w:noWrap/>
          </w:tcPr>
          <w:p>
            <w:pPr>
              <w:ind w:right="-1" w:firstLine="33"/>
            </w:pPr>
            <w:r>
              <w:t>км.</w:t>
            </w:r>
          </w:p>
        </w:tc>
        <w:tc>
          <w:tcPr>
            <w:tcW w:w="2713" w:type="dxa"/>
            <w:gridSpan w:val="2"/>
            <w:noWrap/>
          </w:tcPr>
          <w:p>
            <w:pPr>
              <w:ind w:right="-1"/>
            </w:pPr>
            <w:r>
              <w:t>5,09</w:t>
            </w:r>
          </w:p>
        </w:tc>
        <w:tc>
          <w:tcPr>
            <w:tcW w:w="1419" w:type="dxa"/>
            <w:noWrap/>
          </w:tcPr>
          <w:p>
            <w:pPr>
              <w:ind w:right="-1"/>
            </w:pPr>
            <w: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7" w:type="dxa"/>
            <w:noWrap/>
          </w:tcPr>
          <w:p>
            <w:pPr>
              <w:ind w:right="-1"/>
              <w:rPr>
                <w:b/>
              </w:rPr>
            </w:pPr>
            <w:r>
              <w:rPr>
                <w:b/>
              </w:rPr>
              <w:t>6.5.</w:t>
            </w:r>
          </w:p>
        </w:tc>
        <w:tc>
          <w:tcPr>
            <w:tcW w:w="3772" w:type="dxa"/>
            <w:noWrap/>
          </w:tcPr>
          <w:p>
            <w:pPr>
              <w:ind w:right="-1"/>
              <w:rPr>
                <w:b/>
              </w:rPr>
            </w:pPr>
            <w:r>
              <w:rPr>
                <w:b/>
              </w:rPr>
              <w:t>Электроснабжение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87" w:type="dxa"/>
            <w:noWrap/>
          </w:tcPr>
          <w:p>
            <w:pPr>
              <w:ind w:right="-1"/>
            </w:pPr>
            <w:r>
              <w:t>6.5.1</w:t>
            </w:r>
          </w:p>
        </w:tc>
        <w:tc>
          <w:tcPr>
            <w:tcW w:w="3772" w:type="dxa"/>
            <w:noWrap/>
          </w:tcPr>
          <w:p>
            <w:pPr>
              <w:ind w:right="-1"/>
            </w:pPr>
            <w:r>
              <w:t xml:space="preserve">Потребность в электроэнергии – всего </w:t>
            </w:r>
          </w:p>
        </w:tc>
        <w:tc>
          <w:tcPr>
            <w:tcW w:w="1417" w:type="dxa"/>
            <w:noWrap/>
          </w:tcPr>
          <w:p>
            <w:pPr>
              <w:ind w:right="-1"/>
            </w:pPr>
            <w:r>
              <w:t>млн.кВт. ч./год</w:t>
            </w:r>
          </w:p>
        </w:tc>
        <w:tc>
          <w:tcPr>
            <w:tcW w:w="2713" w:type="dxa"/>
            <w:gridSpan w:val="2"/>
            <w:noWrap/>
          </w:tcPr>
          <w:p>
            <w:pPr>
              <w:ind w:right="-1"/>
            </w:pPr>
          </w:p>
        </w:tc>
        <w:tc>
          <w:tcPr>
            <w:tcW w:w="1419" w:type="dxa"/>
            <w:noWrap/>
          </w:tcPr>
          <w:p>
            <w:pPr>
              <w:ind w:right="-1"/>
            </w:pPr>
            <w:r>
              <w:t>67,73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87" w:type="dxa"/>
            <w:noWrap/>
          </w:tcPr>
          <w:p>
            <w:pPr>
              <w:ind w:right="-1"/>
            </w:pPr>
          </w:p>
        </w:tc>
        <w:tc>
          <w:tcPr>
            <w:tcW w:w="3772" w:type="dxa"/>
            <w:noWrap/>
          </w:tcPr>
          <w:p>
            <w:pPr>
              <w:ind w:right="-1"/>
            </w:pPr>
            <w:r>
              <w:t>в том числе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787" w:type="dxa"/>
            <w:noWrap/>
          </w:tcPr>
          <w:p>
            <w:pPr>
              <w:ind w:right="-1"/>
            </w:pPr>
          </w:p>
        </w:tc>
        <w:tc>
          <w:tcPr>
            <w:tcW w:w="3772" w:type="dxa"/>
            <w:noWrap/>
          </w:tcPr>
          <w:p>
            <w:pPr>
              <w:ind w:right="-1"/>
            </w:pPr>
            <w:r>
              <w:t>на производственные нужды</w:t>
            </w:r>
          </w:p>
        </w:tc>
        <w:tc>
          <w:tcPr>
            <w:tcW w:w="1417" w:type="dxa"/>
            <w:noWrap/>
          </w:tcPr>
          <w:p>
            <w:pPr>
              <w:ind w:right="-1"/>
            </w:pPr>
            <w:r>
              <w:t>млн.кВт. ч./год</w:t>
            </w:r>
          </w:p>
        </w:tc>
        <w:tc>
          <w:tcPr>
            <w:tcW w:w="2713" w:type="dxa"/>
            <w:gridSpan w:val="2"/>
            <w:noWrap/>
          </w:tcPr>
          <w:p>
            <w:pPr>
              <w:ind w:right="-1"/>
            </w:pPr>
          </w:p>
        </w:tc>
        <w:tc>
          <w:tcPr>
            <w:tcW w:w="1419" w:type="dxa"/>
            <w:noWrap/>
          </w:tcPr>
          <w:p>
            <w:pPr>
              <w:ind w:right="-1"/>
            </w:pPr>
            <w:r>
              <w:t>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787" w:type="dxa"/>
            <w:noWrap/>
          </w:tcPr>
          <w:p>
            <w:pPr>
              <w:ind w:right="-1"/>
            </w:pPr>
          </w:p>
        </w:tc>
        <w:tc>
          <w:tcPr>
            <w:tcW w:w="3772" w:type="dxa"/>
            <w:noWrap/>
          </w:tcPr>
          <w:p>
            <w:pPr>
              <w:ind w:right="-1"/>
            </w:pPr>
            <w:r>
              <w:t>на коммунально-бытовые нужды</w:t>
            </w:r>
          </w:p>
        </w:tc>
        <w:tc>
          <w:tcPr>
            <w:tcW w:w="1417" w:type="dxa"/>
            <w:noWrap/>
          </w:tcPr>
          <w:p>
            <w:pPr>
              <w:ind w:right="-1"/>
            </w:pPr>
            <w:r>
              <w:t>млн.кВт. ч./год</w:t>
            </w:r>
          </w:p>
        </w:tc>
        <w:tc>
          <w:tcPr>
            <w:tcW w:w="2713" w:type="dxa"/>
            <w:gridSpan w:val="2"/>
            <w:noWrap/>
          </w:tcPr>
          <w:p>
            <w:pPr>
              <w:ind w:right="-1"/>
            </w:pPr>
          </w:p>
        </w:tc>
        <w:tc>
          <w:tcPr>
            <w:tcW w:w="1419" w:type="dxa"/>
            <w:noWrap/>
          </w:tcPr>
          <w:p>
            <w:pPr>
              <w:ind w:right="-1"/>
            </w:pPr>
            <w:r>
              <w:t>42,37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87" w:type="dxa"/>
            <w:noWrap/>
          </w:tcPr>
          <w:p>
            <w:pPr>
              <w:ind w:right="-1"/>
            </w:pPr>
            <w:r>
              <w:t>6.5.2</w:t>
            </w:r>
          </w:p>
        </w:tc>
        <w:tc>
          <w:tcPr>
            <w:tcW w:w="3772" w:type="dxa"/>
            <w:noWrap/>
          </w:tcPr>
          <w:p>
            <w:pPr>
              <w:ind w:right="-1"/>
            </w:pPr>
            <w:r>
              <w:t xml:space="preserve">Потребление электроэнергии на 1 чел. </w:t>
            </w:r>
          </w:p>
          <w:p>
            <w:pPr>
              <w:ind w:right="-1"/>
            </w:pPr>
            <w:r>
              <w:t>в год</w:t>
            </w:r>
          </w:p>
        </w:tc>
        <w:tc>
          <w:tcPr>
            <w:tcW w:w="1417" w:type="dxa"/>
            <w:noWrap/>
          </w:tcPr>
          <w:p>
            <w:pPr>
              <w:ind w:right="-1" w:firstLine="33"/>
            </w:pPr>
            <w:r>
              <w:t>кВт. ч.</w:t>
            </w:r>
          </w:p>
        </w:tc>
        <w:tc>
          <w:tcPr>
            <w:tcW w:w="2713" w:type="dxa"/>
            <w:gridSpan w:val="2"/>
            <w:noWrap/>
          </w:tcPr>
          <w:p>
            <w:pPr>
              <w:ind w:right="-1"/>
            </w:pPr>
          </w:p>
        </w:tc>
        <w:tc>
          <w:tcPr>
            <w:tcW w:w="1419" w:type="dxa"/>
            <w:noWrap/>
          </w:tcPr>
          <w:p>
            <w:pPr>
              <w:ind w:right="-1"/>
            </w:pPr>
            <w:r>
              <w:t>3762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7" w:type="dxa"/>
            <w:noWrap/>
          </w:tcPr>
          <w:p>
            <w:pPr>
              <w:ind w:right="-1"/>
            </w:pPr>
          </w:p>
        </w:tc>
        <w:tc>
          <w:tcPr>
            <w:tcW w:w="3772" w:type="dxa"/>
            <w:noWrap/>
          </w:tcPr>
          <w:p>
            <w:pPr>
              <w:ind w:right="-1"/>
            </w:pPr>
            <w:r>
              <w:t xml:space="preserve">в том числе на коммунально-бытовые </w:t>
            </w:r>
          </w:p>
          <w:p>
            <w:pPr>
              <w:ind w:right="-1"/>
            </w:pPr>
            <w:r>
              <w:t>нужды</w:t>
            </w:r>
          </w:p>
        </w:tc>
        <w:tc>
          <w:tcPr>
            <w:tcW w:w="1417" w:type="dxa"/>
            <w:noWrap/>
          </w:tcPr>
          <w:p>
            <w:pPr>
              <w:ind w:right="-1" w:firstLine="33"/>
            </w:pPr>
            <w:r>
              <w:t>кВт. ч.</w:t>
            </w:r>
          </w:p>
        </w:tc>
        <w:tc>
          <w:tcPr>
            <w:tcW w:w="2713" w:type="dxa"/>
            <w:gridSpan w:val="2"/>
            <w:noWrap/>
          </w:tcPr>
          <w:p>
            <w:pPr>
              <w:ind w:right="-1"/>
            </w:pPr>
          </w:p>
        </w:tc>
        <w:tc>
          <w:tcPr>
            <w:tcW w:w="1419" w:type="dxa"/>
            <w:noWrap/>
          </w:tcPr>
          <w:p>
            <w:pPr>
              <w:ind w:right="-1"/>
            </w:pPr>
            <w:r>
              <w:t>23,57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87" w:type="dxa"/>
            <w:noWrap/>
          </w:tcPr>
          <w:p>
            <w:pPr>
              <w:ind w:right="-1"/>
            </w:pPr>
            <w:r>
              <w:t>6.5.3</w:t>
            </w:r>
          </w:p>
        </w:tc>
        <w:tc>
          <w:tcPr>
            <w:tcW w:w="3772" w:type="dxa"/>
            <w:noWrap/>
          </w:tcPr>
          <w:p>
            <w:pPr>
              <w:ind w:right="-1"/>
            </w:pPr>
            <w:r>
              <w:t>Источники покрытия электронагрузок</w:t>
            </w:r>
          </w:p>
        </w:tc>
        <w:tc>
          <w:tcPr>
            <w:tcW w:w="1417" w:type="dxa"/>
            <w:noWrap/>
          </w:tcPr>
          <w:p>
            <w:pPr>
              <w:ind w:right="-1" w:firstLine="33"/>
            </w:pPr>
            <w:r>
              <w:t>МВт</w:t>
            </w:r>
          </w:p>
        </w:tc>
        <w:tc>
          <w:tcPr>
            <w:tcW w:w="2713" w:type="dxa"/>
            <w:gridSpan w:val="2"/>
            <w:noWrap/>
          </w:tcPr>
          <w:p>
            <w:pPr>
              <w:ind w:right="-1"/>
            </w:pPr>
          </w:p>
        </w:tc>
        <w:tc>
          <w:tcPr>
            <w:tcW w:w="1419" w:type="dxa"/>
            <w:noWrap/>
          </w:tcPr>
          <w:p>
            <w:pPr>
              <w:ind w:right="-1"/>
            </w:pPr>
            <w: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pPr>
            <w:r>
              <w:t>6.5.4</w:t>
            </w:r>
          </w:p>
        </w:tc>
        <w:tc>
          <w:tcPr>
            <w:tcW w:w="3772" w:type="dxa"/>
            <w:noWrap/>
          </w:tcPr>
          <w:p>
            <w:pPr>
              <w:ind w:right="-1"/>
            </w:pPr>
            <w:r>
              <w:t>Протяженность сетей – всего</w:t>
            </w:r>
          </w:p>
        </w:tc>
        <w:tc>
          <w:tcPr>
            <w:tcW w:w="1417" w:type="dxa"/>
            <w:noWrap/>
          </w:tcPr>
          <w:p>
            <w:pPr>
              <w:ind w:right="-1" w:firstLine="33"/>
            </w:pPr>
            <w:r>
              <w:t>км.</w:t>
            </w:r>
          </w:p>
        </w:tc>
        <w:tc>
          <w:tcPr>
            <w:tcW w:w="2713" w:type="dxa"/>
            <w:gridSpan w:val="2"/>
            <w:noWrap/>
          </w:tcPr>
          <w:p>
            <w:pPr>
              <w:ind w:right="-1"/>
            </w:pPr>
            <w:r>
              <w:t>29,0</w:t>
            </w:r>
          </w:p>
        </w:tc>
        <w:tc>
          <w:tcPr>
            <w:tcW w:w="1419" w:type="dxa"/>
            <w:noWrap/>
          </w:tcPr>
          <w:p>
            <w:pPr>
              <w:ind w:right="-1"/>
            </w:pPr>
            <w:r>
              <w:t>135,2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pPr>
          </w:p>
        </w:tc>
        <w:tc>
          <w:tcPr>
            <w:tcW w:w="3772" w:type="dxa"/>
            <w:noWrap/>
          </w:tcPr>
          <w:p>
            <w:pPr>
              <w:ind w:right="-1"/>
            </w:pPr>
            <w:r>
              <w:t>в т. ч. – сети 10 кВ</w:t>
            </w:r>
          </w:p>
        </w:tc>
        <w:tc>
          <w:tcPr>
            <w:tcW w:w="1417" w:type="dxa"/>
            <w:noWrap/>
          </w:tcPr>
          <w:p>
            <w:pPr>
              <w:ind w:right="-1" w:firstLine="33"/>
            </w:pPr>
            <w:r>
              <w:t>км.</w:t>
            </w:r>
          </w:p>
        </w:tc>
        <w:tc>
          <w:tcPr>
            <w:tcW w:w="2713" w:type="dxa"/>
            <w:gridSpan w:val="2"/>
            <w:noWrap/>
          </w:tcPr>
          <w:p>
            <w:pPr>
              <w:ind w:right="-1"/>
            </w:pPr>
            <w:r>
              <w:t>15,0</w:t>
            </w:r>
          </w:p>
        </w:tc>
        <w:tc>
          <w:tcPr>
            <w:tcW w:w="1419" w:type="dxa"/>
            <w:noWrap/>
          </w:tcPr>
          <w:p>
            <w:pPr>
              <w:ind w:right="-1"/>
            </w:pPr>
            <w: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7" w:type="dxa"/>
            <w:noWrap/>
          </w:tcPr>
          <w:p>
            <w:pPr>
              <w:ind w:right="-1"/>
            </w:pPr>
          </w:p>
        </w:tc>
        <w:tc>
          <w:tcPr>
            <w:tcW w:w="3772" w:type="dxa"/>
            <w:noWrap/>
          </w:tcPr>
          <w:p>
            <w:r>
              <w:t>- сети 35-110 кВ</w:t>
            </w:r>
          </w:p>
        </w:tc>
        <w:tc>
          <w:tcPr>
            <w:tcW w:w="1417" w:type="dxa"/>
            <w:noWrap/>
          </w:tcPr>
          <w:p>
            <w:pPr>
              <w:ind w:right="-1" w:firstLine="33"/>
            </w:pPr>
            <w:r>
              <w:t>км.</w:t>
            </w:r>
          </w:p>
        </w:tc>
        <w:tc>
          <w:tcPr>
            <w:tcW w:w="2713" w:type="dxa"/>
            <w:gridSpan w:val="2"/>
            <w:noWrap/>
          </w:tcPr>
          <w:p>
            <w:pPr>
              <w:ind w:right="-1"/>
            </w:pPr>
            <w:r>
              <w:t>14,0</w:t>
            </w:r>
          </w:p>
        </w:tc>
        <w:tc>
          <w:tcPr>
            <w:tcW w:w="1419" w:type="dxa"/>
            <w:noWrap/>
          </w:tcPr>
          <w:p>
            <w:pPr>
              <w:ind w:right="-1"/>
            </w:pPr>
            <w:r>
              <w:t>104,0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87" w:type="dxa"/>
            <w:noWrap/>
          </w:tcPr>
          <w:p>
            <w:pPr>
              <w:ind w:right="-1"/>
              <w:rPr>
                <w:b/>
              </w:rPr>
            </w:pPr>
            <w:r>
              <w:rPr>
                <w:b/>
              </w:rPr>
              <w:t>6.6.</w:t>
            </w:r>
          </w:p>
        </w:tc>
        <w:tc>
          <w:tcPr>
            <w:tcW w:w="3772" w:type="dxa"/>
            <w:noWrap/>
          </w:tcPr>
          <w:p>
            <w:pPr>
              <w:ind w:right="-1"/>
              <w:rPr>
                <w:b/>
              </w:rPr>
            </w:pPr>
            <w:r>
              <w:rPr>
                <w:b/>
              </w:rPr>
              <w:t>Проводные средства связи</w:t>
            </w:r>
          </w:p>
          <w:p>
            <w:pPr>
              <w:ind w:right="-1"/>
              <w:rPr>
                <w:b/>
              </w:rPr>
            </w:pP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87" w:type="dxa"/>
            <w:noWrap/>
          </w:tcPr>
          <w:p>
            <w:pPr>
              <w:ind w:right="-1"/>
            </w:pPr>
            <w:r>
              <w:t>6.6.1</w:t>
            </w:r>
          </w:p>
        </w:tc>
        <w:tc>
          <w:tcPr>
            <w:tcW w:w="3772" w:type="dxa"/>
            <w:noWrap/>
          </w:tcPr>
          <w:p>
            <w:pPr>
              <w:ind w:right="-1"/>
            </w:pPr>
            <w:r>
              <w:t xml:space="preserve">Охват населения телевизионным </w:t>
            </w:r>
          </w:p>
          <w:p>
            <w:pPr>
              <w:ind w:right="-1"/>
            </w:pPr>
            <w:r>
              <w:t>вещанием</w:t>
            </w:r>
          </w:p>
        </w:tc>
        <w:tc>
          <w:tcPr>
            <w:tcW w:w="1417" w:type="dxa"/>
            <w:noWrap/>
          </w:tcPr>
          <w:p>
            <w:pPr>
              <w:ind w:right="-1" w:firstLine="33"/>
            </w:pPr>
            <w:r>
              <w:t>% населения</w:t>
            </w:r>
          </w:p>
        </w:tc>
        <w:tc>
          <w:tcPr>
            <w:tcW w:w="2713" w:type="dxa"/>
            <w:gridSpan w:val="2"/>
            <w:noWrap/>
          </w:tcPr>
          <w:p>
            <w:pPr>
              <w:ind w:right="-1"/>
            </w:pPr>
            <w:r>
              <w:t>100</w:t>
            </w:r>
          </w:p>
        </w:tc>
        <w:tc>
          <w:tcPr>
            <w:tcW w:w="1419" w:type="dxa"/>
            <w:noWrap/>
          </w:tcPr>
          <w:p>
            <w:pPr>
              <w:ind w:right="-1"/>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787" w:type="dxa"/>
            <w:noWrap/>
          </w:tcPr>
          <w:p>
            <w:pPr>
              <w:ind w:right="-1"/>
            </w:pPr>
            <w:r>
              <w:t>6.6.2</w:t>
            </w:r>
          </w:p>
        </w:tc>
        <w:tc>
          <w:tcPr>
            <w:tcW w:w="3772" w:type="dxa"/>
            <w:noWrap/>
          </w:tcPr>
          <w:p>
            <w:pPr>
              <w:ind w:right="-1"/>
            </w:pPr>
            <w:r>
              <w:t>Обеспеченность населения телефонной сетью общего пользования</w:t>
            </w:r>
          </w:p>
        </w:tc>
        <w:tc>
          <w:tcPr>
            <w:tcW w:w="1417" w:type="dxa"/>
            <w:noWrap/>
          </w:tcPr>
          <w:p>
            <w:pPr>
              <w:ind w:right="-1"/>
            </w:pPr>
            <w:r>
              <w:t>номеров/на</w:t>
            </w:r>
          </w:p>
          <w:p>
            <w:pPr>
              <w:ind w:right="-1"/>
            </w:pPr>
            <w:r>
              <w:t>100 семей</w:t>
            </w:r>
          </w:p>
        </w:tc>
        <w:tc>
          <w:tcPr>
            <w:tcW w:w="2713" w:type="dxa"/>
            <w:gridSpan w:val="2"/>
            <w:noWrap/>
          </w:tcPr>
          <w:p>
            <w:pPr>
              <w:ind w:right="-1"/>
            </w:pPr>
            <w:r>
              <w:t>68</w:t>
            </w:r>
          </w:p>
        </w:tc>
        <w:tc>
          <w:tcPr>
            <w:tcW w:w="1419" w:type="dxa"/>
            <w:noWrap/>
          </w:tcPr>
          <w:p>
            <w:pPr>
              <w:ind w:right="-1"/>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787" w:type="dxa"/>
            <w:noWrap/>
          </w:tcPr>
          <w:p>
            <w:pPr>
              <w:ind w:right="-1"/>
            </w:pPr>
            <w:r>
              <w:t>6.6.3</w:t>
            </w:r>
          </w:p>
        </w:tc>
        <w:tc>
          <w:tcPr>
            <w:tcW w:w="3772" w:type="dxa"/>
            <w:noWrap/>
          </w:tcPr>
          <w:p>
            <w:pPr>
              <w:ind w:right="-1"/>
            </w:pPr>
            <w:r>
              <w:t>Расчетное количество телефонов</w:t>
            </w:r>
          </w:p>
        </w:tc>
        <w:tc>
          <w:tcPr>
            <w:tcW w:w="1417" w:type="dxa"/>
            <w:noWrap/>
          </w:tcPr>
          <w:p>
            <w:pPr>
              <w:ind w:right="-1"/>
            </w:pPr>
            <w:r>
              <w:t>шт.</w:t>
            </w:r>
          </w:p>
        </w:tc>
        <w:tc>
          <w:tcPr>
            <w:tcW w:w="2713" w:type="dxa"/>
            <w:gridSpan w:val="2"/>
            <w:noWrap/>
          </w:tcPr>
          <w:p>
            <w:pPr>
              <w:ind w:right="-1"/>
            </w:pPr>
            <w:r>
              <w:t>-</w:t>
            </w:r>
          </w:p>
        </w:tc>
        <w:tc>
          <w:tcPr>
            <w:tcW w:w="1419" w:type="dxa"/>
            <w:noWrap/>
          </w:tcPr>
          <w:p>
            <w:pPr>
              <w:ind w:right="-1"/>
            </w:pPr>
            <w:r>
              <w:t>1196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787" w:type="dxa"/>
            <w:noWrap/>
          </w:tcPr>
          <w:p>
            <w:pPr>
              <w:ind w:right="-1"/>
            </w:pPr>
          </w:p>
        </w:tc>
        <w:tc>
          <w:tcPr>
            <w:tcW w:w="3772" w:type="dxa"/>
            <w:noWrap/>
          </w:tcPr>
          <w:p>
            <w:pPr>
              <w:ind w:right="-1"/>
            </w:pPr>
            <w:r>
              <w:t>в том числе по жилому сектору</w:t>
            </w:r>
          </w:p>
        </w:tc>
        <w:tc>
          <w:tcPr>
            <w:tcW w:w="1417" w:type="dxa"/>
            <w:noWrap/>
          </w:tcPr>
          <w:p>
            <w:pPr>
              <w:ind w:right="-1"/>
            </w:pPr>
            <w:r>
              <w:t>шт.</w:t>
            </w:r>
          </w:p>
        </w:tc>
        <w:tc>
          <w:tcPr>
            <w:tcW w:w="2713" w:type="dxa"/>
            <w:gridSpan w:val="2"/>
            <w:noWrap/>
          </w:tcPr>
          <w:p>
            <w:pPr>
              <w:ind w:right="-1"/>
            </w:pPr>
            <w:r>
              <w:t>-</w:t>
            </w:r>
          </w:p>
        </w:tc>
        <w:tc>
          <w:tcPr>
            <w:tcW w:w="1419" w:type="dxa"/>
            <w:noWrap/>
          </w:tcPr>
          <w:p>
            <w:pPr>
              <w:ind w:right="-1"/>
            </w:pPr>
            <w:r>
              <w:t>1174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87" w:type="dxa"/>
            <w:noWrap/>
          </w:tcPr>
          <w:p>
            <w:pPr>
              <w:ind w:right="-1"/>
              <w:rPr>
                <w:b/>
              </w:rPr>
            </w:pPr>
            <w:r>
              <w:rPr>
                <w:b/>
              </w:rPr>
              <w:t>7.</w:t>
            </w:r>
          </w:p>
        </w:tc>
        <w:tc>
          <w:tcPr>
            <w:tcW w:w="3772" w:type="dxa"/>
            <w:noWrap/>
          </w:tcPr>
          <w:p>
            <w:pPr>
              <w:ind w:right="-1"/>
              <w:rPr>
                <w:b/>
              </w:rPr>
            </w:pPr>
            <w:r>
              <w:rPr>
                <w:b/>
              </w:rPr>
              <w:t>Охрана природы и охранное природопользование</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87" w:type="dxa"/>
            <w:noWrap/>
          </w:tcPr>
          <w:p>
            <w:pPr>
              <w:ind w:right="-1"/>
            </w:pPr>
            <w:r>
              <w:t>7.1.</w:t>
            </w:r>
          </w:p>
        </w:tc>
        <w:tc>
          <w:tcPr>
            <w:tcW w:w="3772" w:type="dxa"/>
            <w:noWrap/>
          </w:tcPr>
          <w:p>
            <w:pPr>
              <w:ind w:right="-1"/>
            </w:pPr>
            <w:r>
              <w:t>Озеленение санитарно-защитных зон</w:t>
            </w:r>
          </w:p>
        </w:tc>
        <w:tc>
          <w:tcPr>
            <w:tcW w:w="1417" w:type="dxa"/>
            <w:noWrap/>
          </w:tcPr>
          <w:p>
            <w:pPr>
              <w:ind w:right="-1" w:firstLine="33"/>
            </w:pPr>
            <w:r>
              <w:t>га</w:t>
            </w:r>
          </w:p>
        </w:tc>
        <w:tc>
          <w:tcPr>
            <w:tcW w:w="2713" w:type="dxa"/>
            <w:gridSpan w:val="2"/>
            <w:noWrap/>
          </w:tcPr>
          <w:p>
            <w:pPr>
              <w:ind w:right="-1"/>
            </w:pPr>
            <w:r>
              <w:t>-</w:t>
            </w:r>
          </w:p>
        </w:tc>
        <w:tc>
          <w:tcPr>
            <w:tcW w:w="1419" w:type="dxa"/>
            <w:noWrap/>
          </w:tcPr>
          <w:p>
            <w:pPr>
              <w:ind w:right="-1"/>
            </w:pPr>
            <w:r>
              <w:t>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tcPr>
          <w:p>
            <w:pPr>
              <w:ind w:right="-1"/>
            </w:pPr>
            <w:r>
              <w:t>7.2.</w:t>
            </w:r>
          </w:p>
        </w:tc>
        <w:tc>
          <w:tcPr>
            <w:tcW w:w="3772" w:type="dxa"/>
            <w:noWrap/>
          </w:tcPr>
          <w:p>
            <w:pPr>
              <w:ind w:right="-1"/>
            </w:pPr>
            <w:r>
              <w:t>Озеленение прибрежных защитных полос</w:t>
            </w:r>
          </w:p>
        </w:tc>
        <w:tc>
          <w:tcPr>
            <w:tcW w:w="1417" w:type="dxa"/>
            <w:noWrap/>
          </w:tcPr>
          <w:p>
            <w:pPr>
              <w:ind w:right="-1" w:firstLine="33"/>
            </w:pPr>
            <w:r>
              <w:t>га</w:t>
            </w:r>
          </w:p>
        </w:tc>
        <w:tc>
          <w:tcPr>
            <w:tcW w:w="2713" w:type="dxa"/>
            <w:gridSpan w:val="2"/>
            <w:noWrap/>
          </w:tcPr>
          <w:p>
            <w:pPr>
              <w:ind w:right="-1"/>
            </w:pPr>
            <w:r>
              <w:t>-</w:t>
            </w:r>
          </w:p>
        </w:tc>
        <w:tc>
          <w:tcPr>
            <w:tcW w:w="1419" w:type="dxa"/>
            <w:noWrap/>
          </w:tcPr>
          <w:p>
            <w:pPr>
              <w:ind w:right="-1"/>
            </w:pPr>
            <w: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7" w:type="dxa"/>
            <w:noWrap/>
          </w:tcPr>
          <w:p>
            <w:pPr>
              <w:ind w:right="-1"/>
              <w:rPr>
                <w:b/>
              </w:rPr>
            </w:pPr>
            <w:r>
              <w:rPr>
                <w:b/>
              </w:rPr>
              <w:t>8.</w:t>
            </w:r>
          </w:p>
        </w:tc>
        <w:tc>
          <w:tcPr>
            <w:tcW w:w="3772" w:type="dxa"/>
            <w:noWrap/>
          </w:tcPr>
          <w:p>
            <w:pPr>
              <w:ind w:right="-1"/>
              <w:rPr>
                <w:b/>
              </w:rPr>
            </w:pPr>
            <w:r>
              <w:rPr>
                <w:b/>
              </w:rPr>
              <w:t>Санитарная очистка территории</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87" w:type="dxa"/>
            <w:noWrap/>
          </w:tcPr>
          <w:p>
            <w:pPr>
              <w:ind w:right="-1"/>
            </w:pPr>
            <w:r>
              <w:t>8.1.</w:t>
            </w:r>
          </w:p>
        </w:tc>
        <w:tc>
          <w:tcPr>
            <w:tcW w:w="3772" w:type="dxa"/>
            <w:noWrap/>
          </w:tcPr>
          <w:p>
            <w:pPr>
              <w:ind w:right="-1"/>
            </w:pPr>
            <w:r>
              <w:t>Усовершенствованная свалка (полигон ТБО)</w:t>
            </w:r>
          </w:p>
        </w:tc>
        <w:tc>
          <w:tcPr>
            <w:tcW w:w="1417" w:type="dxa"/>
            <w:noWrap/>
          </w:tcPr>
          <w:p>
            <w:pPr>
              <w:ind w:right="-1" w:firstLine="33"/>
            </w:pPr>
            <w:r>
              <w:t>ед.</w:t>
            </w:r>
          </w:p>
        </w:tc>
        <w:tc>
          <w:tcPr>
            <w:tcW w:w="2713" w:type="dxa"/>
            <w:gridSpan w:val="2"/>
            <w:noWrap/>
          </w:tcPr>
          <w:p>
            <w:pPr>
              <w:ind w:right="-1"/>
            </w:pPr>
            <w:r>
              <w:t>-</w:t>
            </w:r>
          </w:p>
        </w:tc>
        <w:tc>
          <w:tcPr>
            <w:tcW w:w="1419" w:type="dxa"/>
            <w:noWrap/>
          </w:tcPr>
          <w:p>
            <w:pPr>
              <w:ind w:right="-1"/>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87" w:type="dxa"/>
            <w:noWrap/>
          </w:tcPr>
          <w:p>
            <w:pPr>
              <w:ind w:right="-1"/>
            </w:pPr>
            <w:r>
              <w:t>8.2.</w:t>
            </w:r>
          </w:p>
        </w:tc>
        <w:tc>
          <w:tcPr>
            <w:tcW w:w="3772" w:type="dxa"/>
            <w:noWrap/>
          </w:tcPr>
          <w:p>
            <w:pPr>
              <w:ind w:right="-1"/>
            </w:pPr>
            <w:r>
              <w:t xml:space="preserve">Проектируемый мусороперерабатывающий завод (районного значения) </w:t>
            </w:r>
          </w:p>
        </w:tc>
        <w:tc>
          <w:tcPr>
            <w:tcW w:w="1417" w:type="dxa"/>
            <w:noWrap/>
          </w:tcPr>
          <w:p>
            <w:pPr>
              <w:ind w:right="-1" w:firstLine="33"/>
            </w:pPr>
            <w:r>
              <w:t>ед.</w:t>
            </w:r>
          </w:p>
        </w:tc>
        <w:tc>
          <w:tcPr>
            <w:tcW w:w="2713" w:type="dxa"/>
            <w:gridSpan w:val="2"/>
            <w:noWrap/>
          </w:tcPr>
          <w:p>
            <w:pPr>
              <w:ind w:right="-1"/>
            </w:pPr>
            <w:r>
              <w:t>-</w:t>
            </w:r>
          </w:p>
        </w:tc>
        <w:tc>
          <w:tcPr>
            <w:tcW w:w="1419" w:type="dxa"/>
            <w:noWrap/>
          </w:tcPr>
          <w:p>
            <w:pPr>
              <w:ind w:right="-1"/>
            </w:pP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7" w:type="dxa"/>
            <w:noWrap/>
          </w:tcPr>
          <w:p>
            <w:pPr>
              <w:ind w:right="-1"/>
              <w:rPr>
                <w:b/>
              </w:rPr>
            </w:pPr>
            <w:r>
              <w:rPr>
                <w:b/>
              </w:rPr>
              <w:t>9.</w:t>
            </w:r>
          </w:p>
        </w:tc>
        <w:tc>
          <w:tcPr>
            <w:tcW w:w="3772" w:type="dxa"/>
            <w:noWrap/>
          </w:tcPr>
          <w:p>
            <w:pPr>
              <w:ind w:right="-1"/>
              <w:rPr>
                <w:b/>
              </w:rPr>
            </w:pPr>
            <w:r>
              <w:rPr>
                <w:b/>
              </w:rPr>
              <w:t>Ритуальное обслуживание населения</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7" w:type="dxa"/>
            <w:noWrap/>
          </w:tcPr>
          <w:p>
            <w:pPr>
              <w:ind w:right="-1"/>
            </w:pPr>
            <w:r>
              <w:t>9.1.</w:t>
            </w:r>
          </w:p>
        </w:tc>
        <w:tc>
          <w:tcPr>
            <w:tcW w:w="3772" w:type="dxa"/>
            <w:noWrap/>
          </w:tcPr>
          <w:p>
            <w:pPr>
              <w:ind w:right="-1"/>
            </w:pPr>
            <w:r>
              <w:t>Общее количество кладбищ:</w:t>
            </w:r>
          </w:p>
        </w:tc>
        <w:tc>
          <w:tcPr>
            <w:tcW w:w="1417" w:type="dxa"/>
            <w:noWrap/>
          </w:tcPr>
          <w:p>
            <w:pPr>
              <w:ind w:right="-1" w:firstLine="33"/>
            </w:pPr>
          </w:p>
        </w:tc>
        <w:tc>
          <w:tcPr>
            <w:tcW w:w="2713" w:type="dxa"/>
            <w:gridSpan w:val="2"/>
            <w:noWrap/>
          </w:tcPr>
          <w:p>
            <w:pPr>
              <w:ind w:right="-1"/>
            </w:pPr>
          </w:p>
        </w:tc>
        <w:tc>
          <w:tcPr>
            <w:tcW w:w="1419" w:type="dxa"/>
            <w:noWrap/>
          </w:tcPr>
          <w:p>
            <w:pPr>
              <w:ind w:right="-1"/>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87" w:type="dxa"/>
            <w:noWrap/>
          </w:tcPr>
          <w:p>
            <w:pPr>
              <w:ind w:right="-1"/>
            </w:pPr>
          </w:p>
        </w:tc>
        <w:tc>
          <w:tcPr>
            <w:tcW w:w="3772" w:type="dxa"/>
            <w:noWrap/>
          </w:tcPr>
          <w:p>
            <w:pPr>
              <w:pBdr>
                <w:top w:val="single" w:color="auto" w:sz="4" w:space="1"/>
                <w:left w:val="single" w:color="auto" w:sz="4" w:space="4"/>
                <w:bottom w:val="single" w:color="auto" w:sz="4" w:space="1"/>
                <w:right w:val="single" w:color="auto" w:sz="4" w:space="4"/>
                <w:between w:val="single" w:color="auto" w:sz="4" w:space="1"/>
              </w:pBdr>
              <w:ind w:right="-1"/>
            </w:pPr>
            <w:r>
              <w:t>Существующих,</w:t>
            </w:r>
          </w:p>
          <w:p>
            <w:pPr>
              <w:ind w:right="-1"/>
            </w:pPr>
            <w:r>
              <w:t>в том числе закрываемых</w:t>
            </w:r>
          </w:p>
        </w:tc>
        <w:tc>
          <w:tcPr>
            <w:tcW w:w="1417" w:type="dxa"/>
            <w:noWrap/>
          </w:tcPr>
          <w:p>
            <w:pPr>
              <w:pBdr>
                <w:top w:val="single" w:color="auto" w:sz="4" w:space="1"/>
                <w:left w:val="single" w:color="auto" w:sz="4" w:space="4"/>
                <w:bottom w:val="single" w:color="auto" w:sz="4" w:space="1"/>
                <w:right w:val="single" w:color="auto" w:sz="4" w:space="4"/>
                <w:between w:val="single" w:color="auto" w:sz="4" w:space="1"/>
              </w:pBdr>
              <w:ind w:right="-1"/>
            </w:pPr>
            <w:r>
              <w:t>га</w:t>
            </w:r>
          </w:p>
          <w:p>
            <w:r>
              <w:t>га</w:t>
            </w:r>
          </w:p>
        </w:tc>
        <w:tc>
          <w:tcPr>
            <w:tcW w:w="2713" w:type="dxa"/>
            <w:gridSpan w:val="2"/>
            <w:noWrap/>
          </w:tcPr>
          <w:p>
            <w:pPr>
              <w:pBdr>
                <w:top w:val="single" w:color="auto" w:sz="4" w:space="1"/>
                <w:left w:val="single" w:color="auto" w:sz="4" w:space="4"/>
                <w:bottom w:val="single" w:color="auto" w:sz="4" w:space="1"/>
                <w:right w:val="single" w:color="auto" w:sz="4" w:space="4"/>
                <w:between w:val="single" w:color="auto" w:sz="4" w:space="1"/>
              </w:pBdr>
              <w:ind w:right="-1"/>
            </w:pPr>
            <w:r>
              <w:t>2,5</w:t>
            </w:r>
          </w:p>
          <w:p>
            <w:r>
              <w:t>-</w:t>
            </w:r>
          </w:p>
        </w:tc>
        <w:tc>
          <w:tcPr>
            <w:tcW w:w="1419" w:type="dxa"/>
            <w:noWrap/>
          </w:tcPr>
          <w:p>
            <w:pPr>
              <w:pBdr>
                <w:top w:val="single" w:color="auto" w:sz="4" w:space="1"/>
                <w:left w:val="single" w:color="auto" w:sz="4" w:space="4"/>
                <w:bottom w:val="single" w:color="auto" w:sz="4" w:space="1"/>
                <w:right w:val="single" w:color="auto" w:sz="4" w:space="4"/>
                <w:between w:val="single" w:color="auto" w:sz="4" w:space="1"/>
              </w:pBdr>
              <w:ind w:right="-1"/>
            </w:pPr>
            <w:r>
              <w:t>2,5</w:t>
            </w:r>
          </w:p>
          <w:p>
            <w: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87" w:type="dxa"/>
            <w:noWrap/>
          </w:tcPr>
          <w:p>
            <w:pPr>
              <w:ind w:right="-1"/>
            </w:pPr>
          </w:p>
        </w:tc>
        <w:tc>
          <w:tcPr>
            <w:tcW w:w="3772" w:type="dxa"/>
            <w:noWrap/>
          </w:tcPr>
          <w:p>
            <w:pPr>
              <w:ind w:right="-1"/>
            </w:pPr>
            <w:r>
              <w:t>проектируемых</w:t>
            </w:r>
          </w:p>
        </w:tc>
        <w:tc>
          <w:tcPr>
            <w:tcW w:w="1417" w:type="dxa"/>
            <w:noWrap/>
          </w:tcPr>
          <w:p>
            <w:pPr>
              <w:ind w:right="-1"/>
            </w:pPr>
            <w:r>
              <w:t>га</w:t>
            </w:r>
          </w:p>
        </w:tc>
        <w:tc>
          <w:tcPr>
            <w:tcW w:w="2713" w:type="dxa"/>
            <w:gridSpan w:val="2"/>
            <w:noWrap/>
          </w:tcPr>
          <w:p>
            <w:pPr>
              <w:ind w:right="-1"/>
            </w:pPr>
            <w:r>
              <w:t>-</w:t>
            </w:r>
          </w:p>
        </w:tc>
        <w:tc>
          <w:tcPr>
            <w:tcW w:w="1419" w:type="dxa"/>
            <w:noWrap/>
          </w:tcPr>
          <w:p>
            <w:pPr>
              <w:ind w:right="-1"/>
            </w:pPr>
            <w:r>
              <w:t>7,9</w:t>
            </w:r>
          </w:p>
        </w:tc>
      </w:tr>
    </w:tbl>
    <w:p>
      <w:pPr>
        <w:pStyle w:val="2"/>
        <w:keepLines/>
        <w:pageBreakBefore/>
        <w:tabs>
          <w:tab w:val="left" w:pos="-1276"/>
          <w:tab w:val="left" w:pos="-1134"/>
        </w:tabs>
        <w:suppressAutoHyphens/>
        <w:spacing w:before="0" w:after="480" w:line="360" w:lineRule="auto"/>
        <w:ind w:firstLine="851"/>
        <w:jc w:val="center"/>
        <w:rPr>
          <w:rFonts w:ascii="Times New Roman" w:hAnsi="Times New Roman"/>
        </w:rPr>
      </w:pPr>
      <w:bookmarkStart w:id="252" w:name="_Toc57203238"/>
      <w:r>
        <w:rPr>
          <w:rFonts w:ascii="Times New Roman" w:hAnsi="Times New Roman"/>
        </w:rPr>
        <w:t>СПИСОК ЛИТЕРАТУРЫ</w:t>
      </w:r>
      <w:bookmarkEnd w:id="243"/>
      <w:bookmarkEnd w:id="244"/>
      <w:bookmarkEnd w:id="252"/>
    </w:p>
    <w:p>
      <w:pPr>
        <w:keepLines/>
        <w:numPr>
          <w:ilvl w:val="0"/>
          <w:numId w:val="53"/>
        </w:numPr>
        <w:tabs>
          <w:tab w:val="left" w:pos="-1276"/>
          <w:tab w:val="left" w:pos="-1134"/>
        </w:tabs>
        <w:suppressAutoHyphens/>
        <w:spacing w:after="0" w:line="360" w:lineRule="auto"/>
        <w:ind w:left="0" w:firstLine="851"/>
        <w:contextualSpacing/>
        <w:jc w:val="both"/>
      </w:pPr>
      <w:r>
        <w:t xml:space="preserve">Конституция Российской Федерации от 12 декабря 1993 г.; </w:t>
      </w:r>
    </w:p>
    <w:p>
      <w:pPr>
        <w:keepLines/>
        <w:numPr>
          <w:ilvl w:val="0"/>
          <w:numId w:val="53"/>
        </w:numPr>
        <w:tabs>
          <w:tab w:val="left" w:pos="-1276"/>
          <w:tab w:val="left" w:pos="-1134"/>
        </w:tabs>
        <w:suppressAutoHyphens/>
        <w:spacing w:after="0" w:line="360" w:lineRule="auto"/>
        <w:ind w:left="0" w:firstLine="851"/>
        <w:contextualSpacing/>
        <w:jc w:val="both"/>
      </w:pPr>
      <w:r>
        <w:t>Градостроительный кодекс Российской Федерации от 29 декабря 2004 г. № 190-ФЗ;</w:t>
      </w:r>
    </w:p>
    <w:p>
      <w:pPr>
        <w:keepLines/>
        <w:numPr>
          <w:ilvl w:val="0"/>
          <w:numId w:val="53"/>
        </w:numPr>
        <w:tabs>
          <w:tab w:val="left" w:pos="-1276"/>
          <w:tab w:val="left" w:pos="-1134"/>
        </w:tabs>
        <w:suppressAutoHyphens/>
        <w:spacing w:after="0" w:line="360" w:lineRule="auto"/>
        <w:ind w:left="0" w:firstLine="851"/>
        <w:contextualSpacing/>
        <w:jc w:val="both"/>
      </w:pPr>
      <w:r>
        <w:t xml:space="preserve">Земельный кодекс Российской Федерации от 25 октября 2001 г. № 136-ФЗ; </w:t>
      </w:r>
    </w:p>
    <w:p>
      <w:pPr>
        <w:keepLines/>
        <w:numPr>
          <w:ilvl w:val="0"/>
          <w:numId w:val="53"/>
        </w:numPr>
        <w:tabs>
          <w:tab w:val="left" w:pos="-1276"/>
          <w:tab w:val="left" w:pos="-1134"/>
        </w:tabs>
        <w:suppressAutoHyphens/>
        <w:spacing w:after="0" w:line="360" w:lineRule="auto"/>
        <w:ind w:left="0" w:firstLine="851"/>
        <w:contextualSpacing/>
        <w:jc w:val="both"/>
      </w:pPr>
      <w:r>
        <w:t>Жилищный кодекс Российской Федерации от 29 декабря 2004 г. № 188-ФЗ;</w:t>
      </w:r>
    </w:p>
    <w:p>
      <w:pPr>
        <w:keepLines/>
        <w:numPr>
          <w:ilvl w:val="0"/>
          <w:numId w:val="53"/>
        </w:numPr>
        <w:tabs>
          <w:tab w:val="left" w:pos="-1276"/>
          <w:tab w:val="left" w:pos="-1134"/>
        </w:tabs>
        <w:suppressAutoHyphens/>
        <w:spacing w:after="0" w:line="360" w:lineRule="auto"/>
        <w:ind w:left="0" w:firstLine="851"/>
        <w:contextualSpacing/>
        <w:jc w:val="both"/>
      </w:pPr>
      <w:r>
        <w:t>Водный кодекс Российской Федерации от 3 июня 2006 г. № 74-ФЗ;</w:t>
      </w:r>
    </w:p>
    <w:p>
      <w:pPr>
        <w:keepLines/>
        <w:numPr>
          <w:ilvl w:val="0"/>
          <w:numId w:val="53"/>
        </w:numPr>
        <w:tabs>
          <w:tab w:val="left" w:pos="-1276"/>
          <w:tab w:val="left" w:pos="-1134"/>
        </w:tabs>
        <w:suppressAutoHyphens/>
        <w:spacing w:after="0" w:line="360" w:lineRule="auto"/>
        <w:ind w:left="0" w:firstLine="851"/>
        <w:contextualSpacing/>
        <w:jc w:val="both"/>
      </w:pPr>
      <w:r>
        <w:t>Лесной кодекс Российской Федерации от 4 декабря 2006 г. № 200-ФЗ;</w:t>
      </w:r>
    </w:p>
    <w:p>
      <w:pPr>
        <w:keepLines/>
        <w:numPr>
          <w:ilvl w:val="0"/>
          <w:numId w:val="53"/>
        </w:numPr>
        <w:tabs>
          <w:tab w:val="left" w:pos="-1276"/>
          <w:tab w:val="left" w:pos="-1134"/>
        </w:tabs>
        <w:suppressAutoHyphens/>
        <w:spacing w:after="0" w:line="360" w:lineRule="auto"/>
        <w:ind w:left="0" w:firstLine="851"/>
        <w:contextualSpacing/>
        <w:jc w:val="both"/>
      </w:pPr>
      <w:r>
        <w:t>Воздушный кодекс Российской Федерации от 19 марта 1997 г. № 60-ФЗ;</w:t>
      </w:r>
    </w:p>
    <w:p>
      <w:pPr>
        <w:keepLines/>
        <w:numPr>
          <w:ilvl w:val="0"/>
          <w:numId w:val="53"/>
        </w:numPr>
        <w:tabs>
          <w:tab w:val="left" w:pos="-1276"/>
          <w:tab w:val="left" w:pos="-1134"/>
        </w:tabs>
        <w:suppressAutoHyphens/>
        <w:spacing w:after="0" w:line="360" w:lineRule="auto"/>
        <w:ind w:left="0" w:firstLine="851"/>
        <w:contextualSpacing/>
        <w:jc w:val="both"/>
      </w:pPr>
      <w:r>
        <w:t>Закон Российской Федерации от 21 февраля 1992 г. № 2395-1 «О недрах»;</w:t>
      </w:r>
    </w:p>
    <w:p>
      <w:pPr>
        <w:keepLines/>
        <w:numPr>
          <w:ilvl w:val="0"/>
          <w:numId w:val="53"/>
        </w:numPr>
        <w:tabs>
          <w:tab w:val="left" w:pos="-1276"/>
          <w:tab w:val="left" w:pos="-1134"/>
        </w:tabs>
        <w:suppressAutoHyphens/>
        <w:spacing w:after="0" w:line="360" w:lineRule="auto"/>
        <w:ind w:left="0" w:firstLine="851"/>
        <w:contextualSpacing/>
        <w:jc w:val="both"/>
      </w:pPr>
      <w:r>
        <w:t>Закон Российской Федерации от 01 апреля 1993 г. № 4730-1 (ред. 14.07.2008г.) «О государственной границе Российской Федерации»;</w:t>
      </w:r>
    </w:p>
    <w:p>
      <w:pPr>
        <w:keepLines/>
        <w:numPr>
          <w:ilvl w:val="0"/>
          <w:numId w:val="53"/>
        </w:numPr>
        <w:tabs>
          <w:tab w:val="left" w:pos="-1276"/>
          <w:tab w:val="left" w:pos="-1134"/>
        </w:tabs>
        <w:suppressAutoHyphens/>
        <w:autoSpaceDE w:val="0"/>
        <w:autoSpaceDN w:val="0"/>
        <w:adjustRightInd w:val="0"/>
        <w:spacing w:after="0" w:line="360" w:lineRule="auto"/>
        <w:ind w:left="0" w:firstLine="851"/>
        <w:contextualSpacing/>
        <w:jc w:val="both"/>
      </w:pPr>
      <w:r>
        <w:t>Федеральный закон от 25 октября 2001 г. № 137-ФЗ «О введении в действие Земельного кодекса Российской Федерации»;</w:t>
      </w:r>
    </w:p>
    <w:p>
      <w:pPr>
        <w:keepLines/>
        <w:numPr>
          <w:ilvl w:val="0"/>
          <w:numId w:val="53"/>
        </w:numPr>
        <w:tabs>
          <w:tab w:val="left" w:pos="-1276"/>
          <w:tab w:val="left" w:pos="-1134"/>
        </w:tabs>
        <w:suppressAutoHyphens/>
        <w:spacing w:after="0" w:line="360" w:lineRule="auto"/>
        <w:ind w:left="0" w:firstLine="851"/>
        <w:contextualSpacing/>
        <w:jc w:val="both"/>
      </w:pPr>
      <w:r>
        <w:t xml:space="preserve">Федеральный закон от 21 декабря 1994 г. № 68-ФЗ «О защите населения и территорий от чрезвычайных ситуаций природного и техногенного характера»;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rPr>
          <w:lang w:eastAsia="ar-SA"/>
        </w:rPr>
        <w:t>Ф</w:t>
      </w:r>
      <w:r>
        <w:rPr>
          <w:spacing w:val="-2"/>
          <w:lang w:eastAsia="ar-SA"/>
        </w:rPr>
        <w:t xml:space="preserve">едеральный закон от 21 декабря 1994 г. № 69-ФЗ «О пожарной безопасности»;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t>Федеральный закон от 12 февраля 1998 г. №28-ФЗ «О гражданской обороне»;</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spacing w:val="-2"/>
          <w:lang w:eastAsia="ar-SA"/>
        </w:rPr>
      </w:pPr>
      <w:r>
        <w:rPr>
          <w:spacing w:val="-2"/>
          <w:lang w:eastAsia="ar-SA"/>
        </w:rPr>
        <w:t>Ф</w:t>
      </w:r>
      <w:r>
        <w:rPr>
          <w:lang w:eastAsia="ar-SA"/>
        </w:rPr>
        <w:t xml:space="preserve">едеральный закон от 15 февраля 1995 г. № 33-ФЗ «Об особо охраняемых природных территориях»;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 xml:space="preserve">Федеральный закон от 17 ноября 1995 г. № 169-ФЗ «Об архитектурной деятельности в Российской Федерации»;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 xml:space="preserve">Федеральный закон от 23 ноября 1995 г. № 174-ФЗ «Об экологической экспертизе»;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 xml:space="preserve">Федеральный закон от 10 января 2002 г. № 7-ФЗ «Об охране окружающей среды»;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 xml:space="preserve">Федеральный закон от 25 июня 2002 г. № 73-ФЗ «Об объектах культурного наследия (памятниках истории и культуры) народов Российской Федерации»;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Постановление Правительства Российской Федерации от 2 сентября 2009 № 717</w:t>
      </w:r>
      <w:r>
        <w:t xml:space="preserve"> </w:t>
      </w:r>
      <w:r>
        <w:rPr>
          <w:lang w:eastAsia="ar-SA"/>
        </w:rPr>
        <w:t>«О нормах отвода земель для размещения автомобильных дорог и (или) объектов дорожного сервиса»;</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t>Постановление Правительства РФ от 26 ноября 2007 г. №804 «Об утверждении Положения о гражданской обороне в Российской Федерации»;</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lang w:eastAsia="ar-SA"/>
        </w:rPr>
      </w:pPr>
      <w:r>
        <w:rPr>
          <w:lang w:eastAsia="ar-SA"/>
        </w:rPr>
        <w:t xml:space="preserve">Приказ Министерства культуры СССР от 13 мая 1986 г. №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pPr>
        <w:pStyle w:val="79"/>
        <w:keepLines/>
        <w:widowControl w:val="0"/>
        <w:numPr>
          <w:ilvl w:val="0"/>
          <w:numId w:val="53"/>
        </w:numPr>
        <w:tabs>
          <w:tab w:val="left" w:pos="-1276"/>
          <w:tab w:val="left" w:pos="-1134"/>
        </w:tabs>
        <w:suppressAutoHyphens/>
        <w:spacing w:before="0" w:beforeAutospacing="0" w:after="0" w:afterAutospacing="0" w:line="360" w:lineRule="auto"/>
        <w:ind w:left="0" w:firstLine="851"/>
        <w:contextualSpacing/>
        <w:jc w:val="both"/>
        <w:rPr>
          <w:spacing w:val="-4"/>
          <w:lang w:eastAsia="ar-SA"/>
        </w:rPr>
      </w:pPr>
      <w:r>
        <w:rPr>
          <w:lang w:eastAsia="ar-SA"/>
        </w:rPr>
        <w:t xml:space="preserve">Приказ Министерства культуры СССР </w:t>
      </w:r>
      <w:r>
        <w:rPr>
          <w:spacing w:val="-4"/>
          <w:lang w:eastAsia="ar-SA"/>
        </w:rPr>
        <w:t>от 24 января 1986 г. № 33</w:t>
      </w:r>
      <w:r>
        <w:rPr>
          <w:lang w:eastAsia="ar-SA"/>
        </w:rPr>
        <w:t xml:space="preserve"> «Об утверждении «Инструкции по организации зон охраны недвижимых памятников истории и </w:t>
      </w:r>
      <w:r>
        <w:rPr>
          <w:spacing w:val="-4"/>
          <w:lang w:eastAsia="ar-SA"/>
        </w:rPr>
        <w:t>культуры СССР»;</w:t>
      </w:r>
    </w:p>
    <w:p>
      <w:pPr>
        <w:keepLines/>
        <w:numPr>
          <w:ilvl w:val="0"/>
          <w:numId w:val="53"/>
        </w:numPr>
        <w:tabs>
          <w:tab w:val="left" w:pos="-1276"/>
          <w:tab w:val="left" w:pos="-1134"/>
        </w:tabs>
        <w:suppressAutoHyphens/>
        <w:spacing w:after="0" w:line="360" w:lineRule="auto"/>
        <w:ind w:left="0" w:firstLine="851"/>
        <w:contextualSpacing/>
        <w:jc w:val="both"/>
      </w:pPr>
      <w:r>
        <w:t>СНиП 11-04-2003 «Инструкция о порядке разработки, согласования, экспертизы и утверждения градостроительной документации»;</w:t>
      </w:r>
    </w:p>
    <w:p>
      <w:pPr>
        <w:keepLines/>
        <w:numPr>
          <w:ilvl w:val="0"/>
          <w:numId w:val="53"/>
        </w:numPr>
        <w:tabs>
          <w:tab w:val="left" w:pos="-1276"/>
          <w:tab w:val="left" w:pos="-1134"/>
        </w:tabs>
        <w:suppressAutoHyphens/>
        <w:spacing w:after="0" w:line="360" w:lineRule="auto"/>
        <w:ind w:left="0" w:firstLine="851"/>
        <w:contextualSpacing/>
        <w:jc w:val="both"/>
      </w:pPr>
      <w:r>
        <w:t>СНиП 23-01-99* «Строительная климатология»;</w:t>
      </w:r>
    </w:p>
    <w:p>
      <w:pPr>
        <w:keepLines/>
        <w:numPr>
          <w:ilvl w:val="0"/>
          <w:numId w:val="53"/>
        </w:numPr>
        <w:tabs>
          <w:tab w:val="left" w:pos="-1276"/>
          <w:tab w:val="left" w:pos="-1134"/>
        </w:tabs>
        <w:suppressAutoHyphens/>
        <w:spacing w:after="0" w:line="360" w:lineRule="auto"/>
        <w:ind w:left="0" w:firstLine="851"/>
        <w:contextualSpacing/>
        <w:jc w:val="both"/>
      </w:pPr>
      <w:r>
        <w:t>СНиП 2.04.07-86 «Тепловые сети»;</w:t>
      </w:r>
    </w:p>
    <w:p>
      <w:pPr>
        <w:keepLines/>
        <w:numPr>
          <w:ilvl w:val="0"/>
          <w:numId w:val="53"/>
        </w:numPr>
        <w:tabs>
          <w:tab w:val="left" w:pos="-1276"/>
          <w:tab w:val="left" w:pos="-1134"/>
        </w:tabs>
        <w:suppressAutoHyphens/>
        <w:spacing w:after="0" w:line="360" w:lineRule="auto"/>
        <w:ind w:left="0" w:firstLine="851"/>
        <w:contextualSpacing/>
        <w:jc w:val="both"/>
      </w:pPr>
      <w:r>
        <w:t>СНиП 42</w:t>
      </w:r>
      <w:r>
        <w:noBreakHyphen/>
      </w:r>
      <w:r>
        <w:t>01-2002 «Газораспределительные системы»;</w:t>
      </w:r>
    </w:p>
    <w:p>
      <w:pPr>
        <w:keepLines/>
        <w:numPr>
          <w:ilvl w:val="0"/>
          <w:numId w:val="53"/>
        </w:numPr>
        <w:tabs>
          <w:tab w:val="left" w:pos="-1276"/>
          <w:tab w:val="left" w:pos="-1134"/>
        </w:tabs>
        <w:suppressAutoHyphens/>
        <w:spacing w:after="0" w:line="360" w:lineRule="auto"/>
        <w:ind w:left="0" w:firstLine="851"/>
        <w:contextualSpacing/>
        <w:jc w:val="both"/>
      </w:pPr>
      <w:r>
        <w:t>СНиП II-12-77 «Защита от шума»;</w:t>
      </w:r>
    </w:p>
    <w:p>
      <w:pPr>
        <w:keepLines/>
        <w:numPr>
          <w:ilvl w:val="0"/>
          <w:numId w:val="53"/>
        </w:numPr>
        <w:tabs>
          <w:tab w:val="left" w:pos="-1276"/>
          <w:tab w:val="left" w:pos="-1134"/>
        </w:tabs>
        <w:suppressAutoHyphens/>
        <w:spacing w:after="0" w:line="360" w:lineRule="auto"/>
        <w:ind w:left="0" w:firstLine="851"/>
        <w:contextualSpacing/>
        <w:jc w:val="both"/>
      </w:pPr>
      <w:r>
        <w:t>СНиП 14-01-96 «Основные положения создания и ведения градостроительного кадастра Российской Федерации»;</w:t>
      </w:r>
    </w:p>
    <w:p>
      <w:pPr>
        <w:keepLines/>
        <w:numPr>
          <w:ilvl w:val="0"/>
          <w:numId w:val="53"/>
        </w:numPr>
        <w:tabs>
          <w:tab w:val="left" w:pos="-1276"/>
          <w:tab w:val="left" w:pos="-1134"/>
        </w:tabs>
        <w:suppressAutoHyphens/>
        <w:spacing w:after="0" w:line="360" w:lineRule="auto"/>
        <w:ind w:left="0" w:firstLine="851"/>
        <w:contextualSpacing/>
        <w:jc w:val="both"/>
      </w:pPr>
      <w:r>
        <w:t>СанПиН 2.2.1/2.1.1.2555-09 «Санитарно-защитные зоны и санитарная классификация предприятий, сооружений и иных объектов»;</w:t>
      </w:r>
    </w:p>
    <w:p>
      <w:pPr>
        <w:keepLines/>
        <w:numPr>
          <w:ilvl w:val="0"/>
          <w:numId w:val="53"/>
        </w:numPr>
        <w:tabs>
          <w:tab w:val="left" w:pos="-1276"/>
          <w:tab w:val="left" w:pos="-1134"/>
        </w:tabs>
        <w:suppressAutoHyphens/>
        <w:spacing w:after="0" w:line="360" w:lineRule="auto"/>
        <w:ind w:left="0" w:firstLine="851"/>
        <w:contextualSpacing/>
        <w:jc w:val="both"/>
      </w:pPr>
      <w: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СанПиН 2.1.4.1110-02 «Зоны санитарной охраны источников водоснабжения и водопроводов питьевого назначения»;</w:t>
      </w:r>
    </w:p>
    <w:p>
      <w:pPr>
        <w:numPr>
          <w:ilvl w:val="0"/>
          <w:numId w:val="53"/>
        </w:numPr>
        <w:tabs>
          <w:tab w:val="left" w:pos="-1276"/>
          <w:tab w:val="left" w:pos="-1134"/>
        </w:tabs>
        <w:suppressAutoHyphens/>
        <w:spacing w:after="0" w:line="360" w:lineRule="auto"/>
        <w:ind w:left="0" w:firstLine="851"/>
        <w:jc w:val="both"/>
      </w:pPr>
      <w:r>
        <w:fldChar w:fldCharType="begin"/>
      </w:r>
      <w:r>
        <w:instrText xml:space="preserve"> HYPERLINK "http://www.realgost.ru/gost_view/sanpin/sanpin_2971-84/index.html" </w:instrText>
      </w:r>
      <w:r>
        <w:fldChar w:fldCharType="separate"/>
      </w:r>
      <w:r>
        <w:t>СанПиН 2971-84</w:t>
      </w:r>
      <w:r>
        <w:fldChar w:fldCharType="end"/>
      </w:r>
      <w:r>
        <w:t xml:space="preserve">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pPr>
        <w:numPr>
          <w:ilvl w:val="0"/>
          <w:numId w:val="53"/>
        </w:numPr>
        <w:tabs>
          <w:tab w:val="left" w:pos="-1276"/>
          <w:tab w:val="left" w:pos="-1134"/>
        </w:tabs>
        <w:suppressAutoHyphens/>
        <w:spacing w:after="0" w:line="360" w:lineRule="auto"/>
        <w:ind w:left="0" w:firstLine="851"/>
        <w:jc w:val="both"/>
      </w:pPr>
      <w:bookmarkStart w:id="253" w:name="OLE_LINK358"/>
      <w:bookmarkStart w:id="254" w:name="OLE_LINK359"/>
      <w:r>
        <w:rPr>
          <w:spacing w:val="1"/>
        </w:rPr>
        <w:t>СП 30.13330.2012 Внутренний водопровод и канализация зданий. Актуализированная редакция СНиП 2.04.01-85*;</w:t>
      </w:r>
    </w:p>
    <w:bookmarkEnd w:id="253"/>
    <w:bookmarkEnd w:id="254"/>
    <w:p>
      <w:pPr>
        <w:pStyle w:val="167"/>
        <w:keepLines/>
        <w:numPr>
          <w:ilvl w:val="0"/>
          <w:numId w:val="53"/>
        </w:numPr>
        <w:tabs>
          <w:tab w:val="left" w:pos="-1276"/>
          <w:tab w:val="left" w:pos="-1134"/>
        </w:tabs>
        <w:suppressAutoHyphens/>
        <w:spacing w:line="360" w:lineRule="auto"/>
        <w:ind w:left="0" w:firstLine="851"/>
        <w:contextualSpacing/>
        <w:jc w:val="both"/>
        <w:textAlignment w:val="baseline"/>
        <w:rPr>
          <w:rFonts w:ascii="Times New Roman" w:hAnsi="Times New Roman" w:eastAsia="Arial"/>
          <w:sz w:val="24"/>
          <w:szCs w:val="24"/>
          <w:lang w:eastAsia="ar-SA"/>
        </w:rPr>
      </w:pPr>
      <w:r>
        <w:rPr>
          <w:rFonts w:ascii="Times New Roman" w:hAnsi="Times New Roman" w:eastAsia="Arial"/>
          <w:sz w:val="24"/>
          <w:szCs w:val="24"/>
          <w:lang w:eastAsia="ar-SA"/>
        </w:rPr>
        <w:t>СП 32.13330.2012 «Канализация. Наружные сети и сооружения»;</w:t>
      </w:r>
    </w:p>
    <w:p>
      <w:pPr>
        <w:pStyle w:val="147"/>
        <w:keepLines/>
        <w:numPr>
          <w:ilvl w:val="0"/>
          <w:numId w:val="53"/>
        </w:numPr>
        <w:tabs>
          <w:tab w:val="left" w:pos="-1276"/>
          <w:tab w:val="left" w:pos="-1134"/>
        </w:tabs>
        <w:spacing w:after="0" w:line="360" w:lineRule="auto"/>
        <w:ind w:left="0" w:firstLine="851"/>
        <w:jc w:val="both"/>
        <w:rPr>
          <w:szCs w:val="26"/>
        </w:rPr>
      </w:pPr>
      <w:r>
        <w:t>СП 42.13330.2011 «Градостроительство. Планировка и застройка городских и муниципальних образований»;</w:t>
      </w:r>
    </w:p>
    <w:p>
      <w:pPr>
        <w:keepLines/>
        <w:numPr>
          <w:ilvl w:val="0"/>
          <w:numId w:val="53"/>
        </w:numPr>
        <w:tabs>
          <w:tab w:val="left" w:pos="-1276"/>
          <w:tab w:val="left" w:pos="-1134"/>
        </w:tabs>
        <w:suppressAutoHyphens/>
        <w:spacing w:after="0" w:line="360" w:lineRule="auto"/>
        <w:ind w:left="0" w:firstLine="851"/>
        <w:contextualSpacing/>
        <w:jc w:val="both"/>
        <w:rPr>
          <w:rFonts w:eastAsia="Arial"/>
          <w:lang w:eastAsia="ar-SA"/>
        </w:rPr>
      </w:pPr>
      <w:r>
        <w:rPr>
          <w:rFonts w:eastAsia="Arial"/>
        </w:rPr>
        <w:t xml:space="preserve">СП 11-106-97* «Порядок разработки, согласования, утверждения и состав проектно-планировочной </w:t>
      </w:r>
      <w:r>
        <w:rPr>
          <w:rFonts w:eastAsia="Arial"/>
          <w:lang w:eastAsia="ar-SA"/>
        </w:rPr>
        <w:t>документации на застройку территорий садоводческих (дачных) объединений граждан»;</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муниципальних образований, других муниципальных образований»;</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Методические рекомендации по разработке проектов генеральных планов образований и городских округов. Утверждены Приказом Министерства регионального развития Российской Федерации от 13 ноября 2010 г. №492;</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 xml:space="preserve">Пособие к СНиП 11-01-95 по разработке раздела проектной документации «Охрана окружающей среды». ГП «Центринвестпроект», 2000 г.; </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Правила охраны поверхностных вод от загрязнения сточными водами. Утв. Минводхозом СССР, Минздравом СССР, Минрыбхозом СССР 16 мая 1974 г.;</w:t>
      </w:r>
    </w:p>
    <w:p>
      <w:pPr>
        <w:pStyle w:val="167"/>
        <w:keepLines/>
        <w:numPr>
          <w:ilvl w:val="0"/>
          <w:numId w:val="53"/>
        </w:numPr>
        <w:tabs>
          <w:tab w:val="left" w:pos="-1276"/>
          <w:tab w:val="left" w:pos="-1134"/>
        </w:tabs>
        <w:suppressAutoHyphens/>
        <w:spacing w:line="360" w:lineRule="auto"/>
        <w:ind w:left="0" w:firstLine="851"/>
        <w:contextualSpacing/>
        <w:jc w:val="both"/>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Интернет-сайты:</w:t>
      </w:r>
    </w:p>
    <w:p>
      <w:pPr>
        <w:keepLines/>
        <w:numPr>
          <w:ilvl w:val="0"/>
          <w:numId w:val="54"/>
        </w:numPr>
        <w:tabs>
          <w:tab w:val="left" w:pos="-1276"/>
          <w:tab w:val="left" w:pos="-1134"/>
        </w:tabs>
        <w:suppressAutoHyphens/>
        <w:spacing w:after="0" w:line="360" w:lineRule="auto"/>
        <w:ind w:left="0" w:firstLine="851"/>
        <w:jc w:val="both"/>
        <w:rPr>
          <w:rStyle w:val="20"/>
          <w:color w:val="auto"/>
        </w:rPr>
      </w:pPr>
      <w:r>
        <w:rPr>
          <w:rStyle w:val="20"/>
          <w:iCs/>
          <w:color w:val="auto"/>
        </w:rPr>
        <w:t>http://www.gks.ru/</w:t>
      </w:r>
    </w:p>
    <w:p>
      <w:pPr>
        <w:keepLines/>
        <w:numPr>
          <w:ilvl w:val="0"/>
          <w:numId w:val="54"/>
        </w:numPr>
        <w:tabs>
          <w:tab w:val="left" w:pos="-1276"/>
          <w:tab w:val="left" w:pos="-1134"/>
        </w:tabs>
        <w:suppressAutoHyphens/>
        <w:spacing w:after="0" w:line="360" w:lineRule="auto"/>
        <w:ind w:left="0" w:firstLine="851"/>
        <w:jc w:val="both"/>
        <w:rPr>
          <w:rStyle w:val="20"/>
          <w:color w:val="auto"/>
        </w:rPr>
      </w:pPr>
      <w:r>
        <w:rPr>
          <w:rStyle w:val="20"/>
          <w:color w:val="auto"/>
        </w:rPr>
        <w:t>http://fgis.economy.gov.ru/fgis/</w:t>
      </w:r>
    </w:p>
    <w:p>
      <w:pPr>
        <w:keepLines/>
        <w:tabs>
          <w:tab w:val="left" w:pos="-1276"/>
          <w:tab w:val="left" w:pos="-1134"/>
        </w:tabs>
        <w:suppressAutoHyphens/>
        <w:spacing w:after="0" w:line="360" w:lineRule="auto"/>
        <w:jc w:val="both"/>
        <w:rPr>
          <w:iCs/>
        </w:rPr>
      </w:pPr>
    </w:p>
    <w:p>
      <w:pPr>
        <w:keepLines/>
        <w:tabs>
          <w:tab w:val="left" w:pos="-1134"/>
        </w:tabs>
        <w:suppressAutoHyphens/>
        <w:spacing w:after="0" w:line="360" w:lineRule="auto"/>
        <w:ind w:left="-851" w:right="426" w:firstLine="851"/>
        <w:jc w:val="both"/>
        <w:rPr>
          <w:iCs/>
        </w:rPr>
      </w:pPr>
    </w:p>
    <w:sectPr>
      <w:pgSz w:w="11906" w:h="16838"/>
      <w:pgMar w:top="1134" w:right="1134" w:bottom="1134" w:left="992"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Unicode MS">
    <w:altName w:val="Arial"/>
    <w:panose1 w:val="020B0604020202020204"/>
    <w:charset w:val="80"/>
    <w:family w:val="swiss"/>
    <w:pitch w:val="default"/>
    <w:sig w:usb0="00000000" w:usb1="00000000" w:usb2="0000003F" w:usb3="00000000" w:csb0="003F01FF" w:csb1="00000000"/>
  </w:font>
  <w:font w:name="CG Times">
    <w:altName w:val="Segoe Print"/>
    <w:panose1 w:val="00000000000000000000"/>
    <w:charset w:val="00"/>
    <w:family w:val="roman"/>
    <w:pitch w:val="default"/>
    <w:sig w:usb0="00000000"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 w:name="Century Schoolbook">
    <w:altName w:val="Segoe Print"/>
    <w:panose1 w:val="00000000000000000000"/>
    <w:charset w:val="CC"/>
    <w:family w:val="roman"/>
    <w:pitch w:val="default"/>
    <w:sig w:usb0="00000000" w:usb1="00000000" w:usb2="00000000" w:usb3="00000000" w:csb0="0000009F" w:csb1="00000000"/>
  </w:font>
  <w:font w:name="Sylfaen">
    <w:panose1 w:val="010A0502050306030303"/>
    <w:charset w:val="CC"/>
    <w:family w:val="roman"/>
    <w:pitch w:val="default"/>
    <w:sig w:usb0="04000687" w:usb1="00000000" w:usb2="00000000" w:usb3="00000000" w:csb0="2000009F" w:csb1="00000000"/>
  </w:font>
  <w:font w:name="Garamond">
    <w:altName w:val="PMingLiU-ExtB"/>
    <w:panose1 w:val="02020404030301010803"/>
    <w:charset w:val="CC"/>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Times">
    <w:altName w:val="Times New Roman"/>
    <w:panose1 w:val="02020603050405020304"/>
    <w:charset w:val="CC"/>
    <w:family w:val="roman"/>
    <w:pitch w:val="default"/>
    <w:sig w:usb0="00000000" w:usb1="00000000" w:usb2="00000009" w:usb3="00000000" w:csb0="000001FF" w:csb1="00000000"/>
  </w:font>
  <w:font w:name="Consolas">
    <w:panose1 w:val="020B0609020204030204"/>
    <w:charset w:val="CC"/>
    <w:family w:val="modern"/>
    <w:pitch w:val="default"/>
    <w:sig w:usb0="E00006FF" w:usb1="0000FCFF" w:usb2="00000001" w:usb3="00000000" w:csb0="6000019F" w:csb1="DFD7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Wingdings 2">
    <w:altName w:val="Wingdings"/>
    <w:panose1 w:val="05020102010507070707"/>
    <w:charset w:val="02"/>
    <w:family w:val="roman"/>
    <w:pitch w:val="default"/>
    <w:sig w:usb0="00000000" w:usb1="00000000" w:usb2="00000000" w:usb3="00000000" w:csb0="80000000" w:csb1="00000000"/>
  </w:font>
  <w:font w:name="Baltica">
    <w:altName w:val="Times New Roman"/>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PMingLiU">
    <w:altName w:val="PMingLiU-ExtB"/>
    <w:panose1 w:val="02020500000000000000"/>
    <w:charset w:val="88"/>
    <w:family w:val="roman"/>
    <w:pitch w:val="default"/>
    <w:sig w:usb0="00000000" w:usb1="00000000" w:usb2="00000016" w:usb3="00000000" w:csb0="00100001" w:csb1="00000000"/>
  </w:font>
  <w:font w:name="Book Antiqua">
    <w:altName w:val="Segoe Print"/>
    <w:panose1 w:val="02040602050305030304"/>
    <w:charset w:val="CC"/>
    <w:family w:val="roman"/>
    <w:pitch w:val="default"/>
    <w:sig w:usb0="00000000" w:usb1="00000000" w:usb2="00000000" w:usb3="00000000" w:csb0="0000009F" w:csb1="00000000"/>
  </w:font>
  <w:font w:name="StarSymbol">
    <w:altName w:val="Segoe Print"/>
    <w:panose1 w:val="00000000000000000000"/>
    <w:charset w:val="02"/>
    <w:family w:val="auto"/>
    <w:pitch w:val="default"/>
    <w:sig w:usb0="00000000" w:usb1="00000000" w:usb2="00000000" w:usb3="00000000" w:csb0="00000000" w:csb1="00000000"/>
  </w:font>
  <w:font w:name="Arial CYR">
    <w:altName w:val="Arial"/>
    <w:panose1 w:val="020B0604020202020204"/>
    <w:charset w:val="CC"/>
    <w:family w:val="swiss"/>
    <w:pitch w:val="default"/>
    <w:sig w:usb0="00000000" w:usb1="00000000" w:usb2="00000009" w:usb3="00000000" w:csb0="000001FF" w:csb1="00000000"/>
  </w:font>
  <w:font w:name="Arial Narrow">
    <w:altName w:val="Arial"/>
    <w:panose1 w:val="020B0606020202030204"/>
    <w:charset w:val="CC"/>
    <w:family w:val="swiss"/>
    <w:pitch w:val="default"/>
    <w:sig w:usb0="00000000" w:usb1="00000000" w:usb2="00000000" w:usb3="00000000" w:csb0="0000009F" w:csb1="00000000"/>
  </w:font>
  <w:font w:name="Arial Black">
    <w:panose1 w:val="020B0A04020102020204"/>
    <w:charset w:val="CC"/>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Tahoma">
    <w:panose1 w:val="020B0604030504040204"/>
    <w:charset w:val="86"/>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7"/>
      <w:jc w:val="right"/>
    </w:pPr>
    <w:r>
      <w:fldChar w:fldCharType="begin"/>
    </w:r>
    <w:r>
      <w:instrText xml:space="preserve"> PAGE   \* MERGEFORMAT </w:instrText>
    </w:r>
    <w:r>
      <w:fldChar w:fldCharType="separate"/>
    </w:r>
    <w:r>
      <w:t>3</w:t>
    </w:r>
    <w:r>
      <w:fldChar w:fldCharType="end"/>
    </w:r>
  </w:p>
  <w:p>
    <w:pPr>
      <w:pStyle w:val="7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7"/>
    </w:pPr>
    <w:r>
      <w:fldChar w:fldCharType="begin"/>
    </w:r>
    <w:r>
      <w:instrText xml:space="preserve"> PAGE   \* MERGEFORMAT </w:instrText>
    </w:r>
    <w:r>
      <w:fldChar w:fldCharType="separate"/>
    </w:r>
    <w:r>
      <w:t>107</w:t>
    </w:r>
    <w:r>
      <w:fldChar w:fldCharType="end"/>
    </w:r>
  </w:p>
  <w:p>
    <w:pPr>
      <w:pStyle w:val="7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right="36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framePr w:wrap="around" w:vAnchor="text" w:hAnchor="margin" w:xAlign="right"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52"/>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A326C"/>
    <w:multiLevelType w:val="multilevel"/>
    <w:tmpl w:val="000A326C"/>
    <w:lvl w:ilvl="0" w:tentative="0">
      <w:start w:val="1"/>
      <w:numFmt w:val="decimal"/>
      <w:pStyle w:val="384"/>
      <w:isLgl/>
      <w:suff w:val="space"/>
      <w:lvlText w:val="%1"/>
      <w:lvlJc w:val="left"/>
      <w:pPr>
        <w:ind w:left="0" w:firstLine="567"/>
      </w:pPr>
      <w:rPr>
        <w:rFonts w:hint="default"/>
      </w:rPr>
    </w:lvl>
    <w:lvl w:ilvl="1" w:tentative="0">
      <w:start w:val="1"/>
      <w:numFmt w:val="decimal"/>
      <w:isLgl/>
      <w:suff w:val="space"/>
      <w:lvlText w:val="%1.%2"/>
      <w:lvlJc w:val="left"/>
      <w:pPr>
        <w:ind w:left="0" w:firstLine="567"/>
      </w:pPr>
      <w:rPr>
        <w:rFonts w:hint="default"/>
      </w:rPr>
    </w:lvl>
    <w:lvl w:ilvl="2" w:tentative="0">
      <w:start w:val="1"/>
      <w:numFmt w:val="decimal"/>
      <w:isLgl/>
      <w:suff w:val="space"/>
      <w:lvlText w:val="%1.%2.%3"/>
      <w:lvlJc w:val="left"/>
      <w:pPr>
        <w:ind w:left="0" w:firstLine="567"/>
      </w:pPr>
      <w:rPr>
        <w:rFonts w:hint="default"/>
      </w:rPr>
    </w:lvl>
    <w:lvl w:ilvl="3" w:tentative="0">
      <w:start w:val="1"/>
      <w:numFmt w:val="decimal"/>
      <w:isLgl/>
      <w:suff w:val="space"/>
      <w:lvlText w:val="%1.%2.%3.%4"/>
      <w:lvlJc w:val="left"/>
      <w:pPr>
        <w:ind w:left="0" w:firstLine="567"/>
      </w:pPr>
      <w:rPr>
        <w:rFonts w:hint="default"/>
      </w:rPr>
    </w:lvl>
    <w:lvl w:ilvl="4" w:tentative="0">
      <w:start w:val="1"/>
      <w:numFmt w:val="decimal"/>
      <w:isLgl/>
      <w:suff w:val="space"/>
      <w:lvlText w:val="%1.%2.%3.%4.%5"/>
      <w:lvlJc w:val="left"/>
      <w:pPr>
        <w:ind w:left="0" w:firstLine="567"/>
      </w:pPr>
      <w:rPr>
        <w:rFonts w:hint="default"/>
      </w:rPr>
    </w:lvl>
    <w:lvl w:ilvl="5" w:tentative="0">
      <w:start w:val="1"/>
      <w:numFmt w:val="decimal"/>
      <w:isLgl/>
      <w:suff w:val="space"/>
      <w:lvlText w:val="%1.%2.%3.%4.%5.%6"/>
      <w:lvlJc w:val="left"/>
      <w:pPr>
        <w:ind w:left="2268" w:firstLine="709"/>
      </w:pPr>
      <w:rPr>
        <w:rFonts w:hint="default"/>
      </w:rPr>
    </w:lvl>
    <w:lvl w:ilvl="6" w:tentative="0">
      <w:start w:val="1"/>
      <w:numFmt w:val="decimal"/>
      <w:isLgl/>
      <w:suff w:val="space"/>
      <w:lvlText w:val="%1.%2.%3.%4.%5.%6.%7"/>
      <w:lvlJc w:val="left"/>
      <w:pPr>
        <w:ind w:left="2268" w:firstLine="709"/>
      </w:pPr>
      <w:rPr>
        <w:rFonts w:hint="default"/>
      </w:rPr>
    </w:lvl>
    <w:lvl w:ilvl="7" w:tentative="0">
      <w:start w:val="1"/>
      <w:numFmt w:val="decimal"/>
      <w:suff w:val="space"/>
      <w:lvlText w:val="%1.%2.%3.%4.%5.%6.%7.%8"/>
      <w:lvlJc w:val="left"/>
      <w:pPr>
        <w:ind w:left="2268" w:firstLine="709"/>
      </w:pPr>
      <w:rPr>
        <w:rFonts w:hint="default"/>
      </w:rPr>
    </w:lvl>
    <w:lvl w:ilvl="8" w:tentative="0">
      <w:start w:val="1"/>
      <w:numFmt w:val="decimal"/>
      <w:suff w:val="space"/>
      <w:lvlText w:val="%1.%2.%3.%4.%5.%6.%7.%8.%9"/>
      <w:lvlJc w:val="left"/>
      <w:pPr>
        <w:ind w:left="2268" w:firstLine="709"/>
      </w:pPr>
      <w:rPr>
        <w:rFonts w:hint="default"/>
      </w:rPr>
    </w:lvl>
  </w:abstractNum>
  <w:abstractNum w:abstractNumId="1">
    <w:nsid w:val="00A15AB0"/>
    <w:multiLevelType w:val="multilevel"/>
    <w:tmpl w:val="00A15AB0"/>
    <w:lvl w:ilvl="0" w:tentative="0">
      <w:start w:val="4"/>
      <w:numFmt w:val="decimal"/>
      <w:lvlText w:val="%1"/>
      <w:lvlJc w:val="left"/>
      <w:pPr>
        <w:ind w:left="525" w:hanging="525"/>
      </w:pPr>
      <w:rPr>
        <w:rFonts w:hint="default"/>
      </w:rPr>
    </w:lvl>
    <w:lvl w:ilvl="1" w:tentative="0">
      <w:start w:val="2"/>
      <w:numFmt w:val="decimal"/>
      <w:lvlText w:val="%2.12"/>
      <w:lvlJc w:val="left"/>
      <w:pPr>
        <w:ind w:left="1997" w:hanging="720"/>
      </w:pPr>
      <w:rPr>
        <w:rFonts w:hint="default"/>
      </w:rPr>
    </w:lvl>
    <w:lvl w:ilvl="2" w:tentative="0">
      <w:start w:val="1"/>
      <w:numFmt w:val="decimal"/>
      <w:lvlText w:val="%1.%2.%3"/>
      <w:lvlJc w:val="left"/>
      <w:pPr>
        <w:ind w:left="4124" w:hanging="720"/>
      </w:pPr>
      <w:rPr>
        <w:rFonts w:hint="default"/>
      </w:rPr>
    </w:lvl>
    <w:lvl w:ilvl="3" w:tentative="0">
      <w:start w:val="1"/>
      <w:numFmt w:val="decimal"/>
      <w:lvlText w:val="%1.%2.%3.%4"/>
      <w:lvlJc w:val="left"/>
      <w:pPr>
        <w:ind w:left="6186" w:hanging="1080"/>
      </w:pPr>
      <w:rPr>
        <w:rFonts w:hint="default"/>
      </w:rPr>
    </w:lvl>
    <w:lvl w:ilvl="4" w:tentative="0">
      <w:start w:val="1"/>
      <w:numFmt w:val="decimal"/>
      <w:lvlText w:val="%1.%2.%3.%4.%5"/>
      <w:lvlJc w:val="left"/>
      <w:pPr>
        <w:ind w:left="7888" w:hanging="1080"/>
      </w:pPr>
      <w:rPr>
        <w:rFonts w:hint="default"/>
      </w:rPr>
    </w:lvl>
    <w:lvl w:ilvl="5" w:tentative="0">
      <w:start w:val="1"/>
      <w:numFmt w:val="decimal"/>
      <w:lvlText w:val="%1.%2.%3.%4.%5.%6"/>
      <w:lvlJc w:val="left"/>
      <w:pPr>
        <w:ind w:left="9950" w:hanging="1440"/>
      </w:pPr>
      <w:rPr>
        <w:rFonts w:hint="default"/>
      </w:rPr>
    </w:lvl>
    <w:lvl w:ilvl="6" w:tentative="0">
      <w:start w:val="1"/>
      <w:numFmt w:val="decimal"/>
      <w:lvlText w:val="%1.%2.%3.%4.%5.%6.%7"/>
      <w:lvlJc w:val="left"/>
      <w:pPr>
        <w:ind w:left="12012" w:hanging="1800"/>
      </w:pPr>
      <w:rPr>
        <w:rFonts w:hint="default"/>
      </w:rPr>
    </w:lvl>
    <w:lvl w:ilvl="7" w:tentative="0">
      <w:start w:val="1"/>
      <w:numFmt w:val="decimal"/>
      <w:lvlText w:val="%1.%2.%3.%4.%5.%6.%7.%8"/>
      <w:lvlJc w:val="left"/>
      <w:pPr>
        <w:ind w:left="13714" w:hanging="1800"/>
      </w:pPr>
      <w:rPr>
        <w:rFonts w:hint="default"/>
      </w:rPr>
    </w:lvl>
    <w:lvl w:ilvl="8" w:tentative="0">
      <w:start w:val="1"/>
      <w:numFmt w:val="decimal"/>
      <w:lvlText w:val="%1.%2.%3.%4.%5.%6.%7.%8.%9"/>
      <w:lvlJc w:val="left"/>
      <w:pPr>
        <w:ind w:left="15776" w:hanging="2160"/>
      </w:pPr>
      <w:rPr>
        <w:rFonts w:hint="default"/>
      </w:rPr>
    </w:lvl>
  </w:abstractNum>
  <w:abstractNum w:abstractNumId="2">
    <w:nsid w:val="00A90FCC"/>
    <w:multiLevelType w:val="multilevel"/>
    <w:tmpl w:val="00A90FCC"/>
    <w:lvl w:ilvl="0" w:tentative="0">
      <w:start w:val="1"/>
      <w:numFmt w:val="decimal"/>
      <w:lvlText w:val="%1"/>
      <w:lvlJc w:val="left"/>
      <w:pPr>
        <w:ind w:left="600" w:hanging="600"/>
      </w:pPr>
      <w:rPr>
        <w:rFonts w:hint="default"/>
      </w:rPr>
    </w:lvl>
    <w:lvl w:ilvl="1" w:tentative="0">
      <w:start w:val="3"/>
      <w:numFmt w:val="decimal"/>
      <w:lvlText w:val="%1.%2"/>
      <w:lvlJc w:val="left"/>
      <w:pPr>
        <w:ind w:left="1138" w:hanging="600"/>
      </w:pPr>
      <w:rPr>
        <w:rFonts w:hint="default"/>
      </w:rPr>
    </w:lvl>
    <w:lvl w:ilvl="2" w:tentative="0">
      <w:start w:val="2"/>
      <w:numFmt w:val="decimal"/>
      <w:lvlText w:val="%1.%2.%3"/>
      <w:lvlJc w:val="left"/>
      <w:pPr>
        <w:ind w:left="1796" w:hanging="720"/>
      </w:pPr>
      <w:rPr>
        <w:rFonts w:hint="default"/>
      </w:rPr>
    </w:lvl>
    <w:lvl w:ilvl="3" w:tentative="0">
      <w:start w:val="1"/>
      <w:numFmt w:val="decimal"/>
      <w:lvlText w:val="%1.%2.%3.%4"/>
      <w:lvlJc w:val="left"/>
      <w:pPr>
        <w:ind w:left="2924" w:hanging="1080"/>
      </w:pPr>
      <w:rPr>
        <w:rFonts w:hint="default"/>
      </w:rPr>
    </w:lvl>
    <w:lvl w:ilvl="4" w:tentative="0">
      <w:start w:val="1"/>
      <w:numFmt w:val="decimal"/>
      <w:lvlText w:val="%1.%2.%3.%4.%5"/>
      <w:lvlJc w:val="left"/>
      <w:pPr>
        <w:ind w:left="3232" w:hanging="1080"/>
      </w:pPr>
      <w:rPr>
        <w:rFonts w:hint="default"/>
      </w:rPr>
    </w:lvl>
    <w:lvl w:ilvl="5" w:tentative="0">
      <w:start w:val="1"/>
      <w:numFmt w:val="decimal"/>
      <w:lvlText w:val="%1.%2.%3.%4.%5.%6"/>
      <w:lvlJc w:val="left"/>
      <w:pPr>
        <w:ind w:left="4130" w:hanging="1440"/>
      </w:pPr>
      <w:rPr>
        <w:rFonts w:hint="default"/>
      </w:rPr>
    </w:lvl>
    <w:lvl w:ilvl="6" w:tentative="0">
      <w:start w:val="1"/>
      <w:numFmt w:val="decimal"/>
      <w:lvlText w:val="%1.%2.%3.%4.%5.%6.%7"/>
      <w:lvlJc w:val="left"/>
      <w:pPr>
        <w:ind w:left="4668" w:hanging="1440"/>
      </w:pPr>
      <w:rPr>
        <w:rFonts w:hint="default"/>
      </w:rPr>
    </w:lvl>
    <w:lvl w:ilvl="7" w:tentative="0">
      <w:start w:val="1"/>
      <w:numFmt w:val="decimal"/>
      <w:lvlText w:val="%1.%2.%3.%4.%5.%6.%7.%8"/>
      <w:lvlJc w:val="left"/>
      <w:pPr>
        <w:ind w:left="5566" w:hanging="1800"/>
      </w:pPr>
      <w:rPr>
        <w:rFonts w:hint="default"/>
      </w:rPr>
    </w:lvl>
    <w:lvl w:ilvl="8" w:tentative="0">
      <w:start w:val="1"/>
      <w:numFmt w:val="decimal"/>
      <w:lvlText w:val="%1.%2.%3.%4.%5.%6.%7.%8.%9"/>
      <w:lvlJc w:val="left"/>
      <w:pPr>
        <w:ind w:left="6464" w:hanging="2160"/>
      </w:pPr>
      <w:rPr>
        <w:rFonts w:hint="default"/>
      </w:rPr>
    </w:lvl>
  </w:abstractNum>
  <w:abstractNum w:abstractNumId="3">
    <w:nsid w:val="08572305"/>
    <w:multiLevelType w:val="multilevel"/>
    <w:tmpl w:val="085723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91179FB"/>
    <w:multiLevelType w:val="multilevel"/>
    <w:tmpl w:val="091179FB"/>
    <w:lvl w:ilvl="0" w:tentative="0">
      <w:start w:val="1"/>
      <w:numFmt w:val="decimal"/>
      <w:pStyle w:val="751"/>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FD87F6F"/>
    <w:multiLevelType w:val="multilevel"/>
    <w:tmpl w:val="0FD87F6F"/>
    <w:lvl w:ilvl="0" w:tentative="0">
      <w:start w:val="1"/>
      <w:numFmt w:val="bullet"/>
      <w:lvlText w:val=""/>
      <w:lvlJc w:val="left"/>
      <w:pPr>
        <w:ind w:left="1776" w:hanging="360"/>
      </w:pPr>
      <w:rPr>
        <w:rFonts w:hint="default" w:ascii="Symbol" w:hAnsi="Symbol"/>
      </w:rPr>
    </w:lvl>
    <w:lvl w:ilvl="1" w:tentative="0">
      <w:start w:val="1"/>
      <w:numFmt w:val="bullet"/>
      <w:lvlText w:val="o"/>
      <w:lvlJc w:val="left"/>
      <w:pPr>
        <w:ind w:left="2496" w:hanging="360"/>
      </w:pPr>
      <w:rPr>
        <w:rFonts w:hint="default" w:ascii="Courier New" w:hAnsi="Courier New" w:cs="Courier New"/>
      </w:rPr>
    </w:lvl>
    <w:lvl w:ilvl="2" w:tentative="0">
      <w:start w:val="1"/>
      <w:numFmt w:val="bullet"/>
      <w:lvlText w:val=""/>
      <w:lvlJc w:val="left"/>
      <w:pPr>
        <w:ind w:left="3216" w:hanging="360"/>
      </w:pPr>
      <w:rPr>
        <w:rFonts w:hint="default" w:ascii="Wingdings" w:hAnsi="Wingdings"/>
      </w:rPr>
    </w:lvl>
    <w:lvl w:ilvl="3" w:tentative="0">
      <w:start w:val="1"/>
      <w:numFmt w:val="bullet"/>
      <w:lvlText w:val=""/>
      <w:lvlJc w:val="left"/>
      <w:pPr>
        <w:ind w:left="3936" w:hanging="360"/>
      </w:pPr>
      <w:rPr>
        <w:rFonts w:hint="default" w:ascii="Symbol" w:hAnsi="Symbol"/>
      </w:rPr>
    </w:lvl>
    <w:lvl w:ilvl="4" w:tentative="0">
      <w:start w:val="1"/>
      <w:numFmt w:val="bullet"/>
      <w:lvlText w:val="o"/>
      <w:lvlJc w:val="left"/>
      <w:pPr>
        <w:ind w:left="4656" w:hanging="360"/>
      </w:pPr>
      <w:rPr>
        <w:rFonts w:hint="default" w:ascii="Courier New" w:hAnsi="Courier New" w:cs="Courier New"/>
      </w:rPr>
    </w:lvl>
    <w:lvl w:ilvl="5" w:tentative="0">
      <w:start w:val="1"/>
      <w:numFmt w:val="bullet"/>
      <w:lvlText w:val=""/>
      <w:lvlJc w:val="left"/>
      <w:pPr>
        <w:ind w:left="5376" w:hanging="360"/>
      </w:pPr>
      <w:rPr>
        <w:rFonts w:hint="default" w:ascii="Wingdings" w:hAnsi="Wingdings"/>
      </w:rPr>
    </w:lvl>
    <w:lvl w:ilvl="6" w:tentative="0">
      <w:start w:val="1"/>
      <w:numFmt w:val="bullet"/>
      <w:lvlText w:val=""/>
      <w:lvlJc w:val="left"/>
      <w:pPr>
        <w:ind w:left="6096" w:hanging="360"/>
      </w:pPr>
      <w:rPr>
        <w:rFonts w:hint="default" w:ascii="Symbol" w:hAnsi="Symbol"/>
      </w:rPr>
    </w:lvl>
    <w:lvl w:ilvl="7" w:tentative="0">
      <w:start w:val="1"/>
      <w:numFmt w:val="bullet"/>
      <w:lvlText w:val="o"/>
      <w:lvlJc w:val="left"/>
      <w:pPr>
        <w:ind w:left="6816" w:hanging="360"/>
      </w:pPr>
      <w:rPr>
        <w:rFonts w:hint="default" w:ascii="Courier New" w:hAnsi="Courier New" w:cs="Courier New"/>
      </w:rPr>
    </w:lvl>
    <w:lvl w:ilvl="8" w:tentative="0">
      <w:start w:val="1"/>
      <w:numFmt w:val="bullet"/>
      <w:lvlText w:val=""/>
      <w:lvlJc w:val="left"/>
      <w:pPr>
        <w:ind w:left="7536" w:hanging="360"/>
      </w:pPr>
      <w:rPr>
        <w:rFonts w:hint="default" w:ascii="Wingdings" w:hAnsi="Wingdings"/>
      </w:rPr>
    </w:lvl>
  </w:abstractNum>
  <w:abstractNum w:abstractNumId="6">
    <w:nsid w:val="0FE31A74"/>
    <w:multiLevelType w:val="multilevel"/>
    <w:tmpl w:val="0FE31A74"/>
    <w:lvl w:ilvl="0" w:tentative="0">
      <w:start w:val="1"/>
      <w:numFmt w:val="decimal"/>
      <w:pStyle w:val="454"/>
      <w:lvlText w:val="%1."/>
      <w:lvlJc w:val="left"/>
      <w:pPr>
        <w:ind w:left="1429" w:hanging="360"/>
      </w:pPr>
      <w:rPr>
        <w:rFonts w:cs="Times New Roman"/>
      </w:rPr>
    </w:lvl>
    <w:lvl w:ilvl="1" w:tentative="0">
      <w:start w:val="1"/>
      <w:numFmt w:val="lowerLetter"/>
      <w:lvlText w:val="%2."/>
      <w:lvlJc w:val="left"/>
      <w:pPr>
        <w:ind w:left="2149" w:hanging="360"/>
      </w:pPr>
      <w:rPr>
        <w:rFonts w:cs="Times New Roman"/>
      </w:rPr>
    </w:lvl>
    <w:lvl w:ilvl="2" w:tentative="0">
      <w:start w:val="1"/>
      <w:numFmt w:val="lowerRoman"/>
      <w:lvlText w:val="%3."/>
      <w:lvlJc w:val="right"/>
      <w:pPr>
        <w:ind w:left="2869" w:hanging="180"/>
      </w:pPr>
      <w:rPr>
        <w:rFonts w:cs="Times New Roman"/>
      </w:rPr>
    </w:lvl>
    <w:lvl w:ilvl="3" w:tentative="0">
      <w:start w:val="1"/>
      <w:numFmt w:val="decimal"/>
      <w:lvlText w:val="%4."/>
      <w:lvlJc w:val="left"/>
      <w:pPr>
        <w:ind w:left="3589" w:hanging="360"/>
      </w:pPr>
      <w:rPr>
        <w:rFonts w:cs="Times New Roman"/>
      </w:rPr>
    </w:lvl>
    <w:lvl w:ilvl="4" w:tentative="0">
      <w:start w:val="1"/>
      <w:numFmt w:val="lowerLetter"/>
      <w:lvlText w:val="%5."/>
      <w:lvlJc w:val="left"/>
      <w:pPr>
        <w:ind w:left="4309" w:hanging="360"/>
      </w:pPr>
      <w:rPr>
        <w:rFonts w:cs="Times New Roman"/>
      </w:rPr>
    </w:lvl>
    <w:lvl w:ilvl="5" w:tentative="0">
      <w:start w:val="1"/>
      <w:numFmt w:val="lowerRoman"/>
      <w:lvlText w:val="%6."/>
      <w:lvlJc w:val="right"/>
      <w:pPr>
        <w:ind w:left="5029" w:hanging="180"/>
      </w:pPr>
      <w:rPr>
        <w:rFonts w:cs="Times New Roman"/>
      </w:rPr>
    </w:lvl>
    <w:lvl w:ilvl="6" w:tentative="0">
      <w:start w:val="1"/>
      <w:numFmt w:val="decimal"/>
      <w:lvlText w:val="%7."/>
      <w:lvlJc w:val="left"/>
      <w:pPr>
        <w:ind w:left="5749" w:hanging="360"/>
      </w:pPr>
      <w:rPr>
        <w:rFonts w:cs="Times New Roman"/>
      </w:rPr>
    </w:lvl>
    <w:lvl w:ilvl="7" w:tentative="0">
      <w:start w:val="1"/>
      <w:numFmt w:val="lowerLetter"/>
      <w:lvlText w:val="%8."/>
      <w:lvlJc w:val="left"/>
      <w:pPr>
        <w:ind w:left="6469" w:hanging="360"/>
      </w:pPr>
      <w:rPr>
        <w:rFonts w:cs="Times New Roman"/>
      </w:rPr>
    </w:lvl>
    <w:lvl w:ilvl="8" w:tentative="0">
      <w:start w:val="1"/>
      <w:numFmt w:val="lowerRoman"/>
      <w:lvlText w:val="%9."/>
      <w:lvlJc w:val="right"/>
      <w:pPr>
        <w:ind w:left="7189" w:hanging="180"/>
      </w:pPr>
      <w:rPr>
        <w:rFonts w:cs="Times New Roman"/>
      </w:rPr>
    </w:lvl>
  </w:abstractNum>
  <w:abstractNum w:abstractNumId="7">
    <w:nsid w:val="123A7034"/>
    <w:multiLevelType w:val="multilevel"/>
    <w:tmpl w:val="123A7034"/>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8">
    <w:nsid w:val="13177C86"/>
    <w:multiLevelType w:val="multilevel"/>
    <w:tmpl w:val="13177C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38F1243"/>
    <w:multiLevelType w:val="multilevel"/>
    <w:tmpl w:val="138F1243"/>
    <w:lvl w:ilvl="0" w:tentative="0">
      <w:start w:val="2"/>
      <w:numFmt w:val="decimal"/>
      <w:lvlText w:val="%1"/>
      <w:lvlJc w:val="left"/>
      <w:pPr>
        <w:ind w:left="525" w:hanging="525"/>
      </w:pPr>
      <w:rPr>
        <w:rFonts w:hint="default"/>
      </w:rPr>
    </w:lvl>
    <w:lvl w:ilvl="1" w:tentative="0">
      <w:start w:val="10"/>
      <w:numFmt w:val="decimal"/>
      <w:lvlText w:val="%1.%2"/>
      <w:lvlJc w:val="left"/>
      <w:pPr>
        <w:ind w:left="2847" w:hanging="720"/>
      </w:pPr>
      <w:rPr>
        <w:rFonts w:hint="default"/>
      </w:rPr>
    </w:lvl>
    <w:lvl w:ilvl="2" w:tentative="0">
      <w:start w:val="1"/>
      <w:numFmt w:val="decimal"/>
      <w:lvlText w:val="%1.%2.%3"/>
      <w:lvlJc w:val="left"/>
      <w:pPr>
        <w:ind w:left="10077" w:hanging="720"/>
      </w:pPr>
      <w:rPr>
        <w:rFonts w:hint="default"/>
      </w:rPr>
    </w:lvl>
    <w:lvl w:ilvl="3" w:tentative="0">
      <w:start w:val="1"/>
      <w:numFmt w:val="decimal"/>
      <w:lvlText w:val="%1.%2.%3.%4"/>
      <w:lvlJc w:val="left"/>
      <w:pPr>
        <w:ind w:left="20448" w:hanging="1080"/>
      </w:pPr>
      <w:rPr>
        <w:rFonts w:hint="default"/>
      </w:rPr>
    </w:lvl>
    <w:lvl w:ilvl="4" w:tentative="0">
      <w:start w:val="1"/>
      <w:numFmt w:val="decimal"/>
      <w:lvlText w:val="%1.%2.%3.%4.%5"/>
      <w:lvlJc w:val="left"/>
      <w:pPr>
        <w:ind w:left="26904" w:hanging="1080"/>
      </w:pPr>
      <w:rPr>
        <w:rFonts w:hint="default"/>
      </w:rPr>
    </w:lvl>
    <w:lvl w:ilvl="5" w:tentative="0">
      <w:start w:val="1"/>
      <w:numFmt w:val="decimal"/>
      <w:lvlText w:val="%1.%2.%3.%4.%5.%6"/>
      <w:lvlJc w:val="left"/>
      <w:pPr>
        <w:ind w:left="-31816" w:hanging="1440"/>
      </w:pPr>
      <w:rPr>
        <w:rFonts w:hint="default"/>
      </w:rPr>
    </w:lvl>
    <w:lvl w:ilvl="6" w:tentative="0">
      <w:start w:val="1"/>
      <w:numFmt w:val="decimal"/>
      <w:lvlText w:val="%1.%2.%3.%4.%5.%6.%7"/>
      <w:lvlJc w:val="left"/>
      <w:pPr>
        <w:ind w:left="-25000" w:hanging="1800"/>
      </w:pPr>
      <w:rPr>
        <w:rFonts w:hint="default"/>
      </w:rPr>
    </w:lvl>
    <w:lvl w:ilvl="7" w:tentative="0">
      <w:start w:val="1"/>
      <w:numFmt w:val="decimal"/>
      <w:lvlText w:val="%1.%2.%3.%4.%5.%6.%7.%8"/>
      <w:lvlJc w:val="left"/>
      <w:pPr>
        <w:ind w:left="-18544" w:hanging="1800"/>
      </w:pPr>
      <w:rPr>
        <w:rFonts w:hint="default"/>
      </w:rPr>
    </w:lvl>
    <w:lvl w:ilvl="8" w:tentative="0">
      <w:start w:val="1"/>
      <w:numFmt w:val="decimal"/>
      <w:lvlText w:val="%1.%2.%3.%4.%5.%6.%7.%8.%9"/>
      <w:lvlJc w:val="left"/>
      <w:pPr>
        <w:ind w:left="-11728" w:hanging="2160"/>
      </w:pPr>
      <w:rPr>
        <w:rFonts w:hint="default"/>
      </w:rPr>
    </w:lvl>
  </w:abstractNum>
  <w:abstractNum w:abstractNumId="10">
    <w:nsid w:val="14A52C02"/>
    <w:multiLevelType w:val="multilevel"/>
    <w:tmpl w:val="14A52C02"/>
    <w:lvl w:ilvl="0" w:tentative="0">
      <w:start w:val="2"/>
      <w:numFmt w:val="decimal"/>
      <w:lvlText w:val="%1"/>
      <w:lvlJc w:val="left"/>
      <w:pPr>
        <w:ind w:left="600" w:hanging="600"/>
      </w:pPr>
      <w:rPr>
        <w:rFonts w:hint="default"/>
      </w:rPr>
    </w:lvl>
    <w:lvl w:ilvl="1" w:tentative="0">
      <w:start w:val="7"/>
      <w:numFmt w:val="decimal"/>
      <w:lvlText w:val="%1.%2"/>
      <w:lvlJc w:val="left"/>
      <w:pPr>
        <w:ind w:left="1138" w:hanging="600"/>
      </w:pPr>
      <w:rPr>
        <w:rFonts w:hint="default"/>
      </w:rPr>
    </w:lvl>
    <w:lvl w:ilvl="2" w:tentative="0">
      <w:start w:val="2"/>
      <w:numFmt w:val="decimal"/>
      <w:lvlText w:val="%1.%2.%3"/>
      <w:lvlJc w:val="left"/>
      <w:pPr>
        <w:ind w:left="1796" w:hanging="720"/>
      </w:pPr>
      <w:rPr>
        <w:rFonts w:hint="default"/>
      </w:rPr>
    </w:lvl>
    <w:lvl w:ilvl="3" w:tentative="0">
      <w:start w:val="1"/>
      <w:numFmt w:val="decimal"/>
      <w:lvlText w:val="%1.%2.%3.%4"/>
      <w:lvlJc w:val="left"/>
      <w:pPr>
        <w:ind w:left="2694" w:hanging="1080"/>
      </w:pPr>
      <w:rPr>
        <w:rFonts w:hint="default"/>
      </w:rPr>
    </w:lvl>
    <w:lvl w:ilvl="4" w:tentative="0">
      <w:start w:val="1"/>
      <w:numFmt w:val="decimal"/>
      <w:lvlText w:val="%1.%2.%3.%4.%5"/>
      <w:lvlJc w:val="left"/>
      <w:pPr>
        <w:ind w:left="3232" w:hanging="1080"/>
      </w:pPr>
      <w:rPr>
        <w:rFonts w:hint="default"/>
      </w:rPr>
    </w:lvl>
    <w:lvl w:ilvl="5" w:tentative="0">
      <w:start w:val="1"/>
      <w:numFmt w:val="decimal"/>
      <w:lvlText w:val="%1.%2.%3.%4.%5.%6"/>
      <w:lvlJc w:val="left"/>
      <w:pPr>
        <w:ind w:left="4130" w:hanging="1440"/>
      </w:pPr>
      <w:rPr>
        <w:rFonts w:hint="default"/>
      </w:rPr>
    </w:lvl>
    <w:lvl w:ilvl="6" w:tentative="0">
      <w:start w:val="1"/>
      <w:numFmt w:val="decimal"/>
      <w:lvlText w:val="%1.%2.%3.%4.%5.%6.%7"/>
      <w:lvlJc w:val="left"/>
      <w:pPr>
        <w:ind w:left="4668" w:hanging="1440"/>
      </w:pPr>
      <w:rPr>
        <w:rFonts w:hint="default"/>
      </w:rPr>
    </w:lvl>
    <w:lvl w:ilvl="7" w:tentative="0">
      <w:start w:val="1"/>
      <w:numFmt w:val="decimal"/>
      <w:lvlText w:val="%1.%2.%3.%4.%5.%6.%7.%8"/>
      <w:lvlJc w:val="left"/>
      <w:pPr>
        <w:ind w:left="5566" w:hanging="1800"/>
      </w:pPr>
      <w:rPr>
        <w:rFonts w:hint="default"/>
      </w:rPr>
    </w:lvl>
    <w:lvl w:ilvl="8" w:tentative="0">
      <w:start w:val="1"/>
      <w:numFmt w:val="decimal"/>
      <w:lvlText w:val="%1.%2.%3.%4.%5.%6.%7.%8.%9"/>
      <w:lvlJc w:val="left"/>
      <w:pPr>
        <w:ind w:left="6464" w:hanging="2160"/>
      </w:pPr>
      <w:rPr>
        <w:rFonts w:hint="default"/>
      </w:rPr>
    </w:lvl>
  </w:abstractNum>
  <w:abstractNum w:abstractNumId="11">
    <w:nsid w:val="170603A4"/>
    <w:multiLevelType w:val="multilevel"/>
    <w:tmpl w:val="170603A4"/>
    <w:lvl w:ilvl="0" w:tentative="0">
      <w:start w:val="1"/>
      <w:numFmt w:val="bullet"/>
      <w:pStyle w:val="655"/>
      <w:lvlText w:val=""/>
      <w:lvlJc w:val="left"/>
      <w:pPr>
        <w:tabs>
          <w:tab w:val="left" w:pos="284"/>
        </w:tabs>
        <w:ind w:left="1758" w:hanging="34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189A795C"/>
    <w:multiLevelType w:val="multilevel"/>
    <w:tmpl w:val="189A795C"/>
    <w:lvl w:ilvl="0" w:tentative="0">
      <w:start w:val="1"/>
      <w:numFmt w:val="russianLower"/>
      <w:pStyle w:val="391"/>
      <w:suff w:val="space"/>
      <w:lvlText w:val="%1)"/>
      <w:lvlJc w:val="left"/>
      <w:pPr>
        <w:ind w:left="567" w:firstLine="0"/>
      </w:pPr>
      <w:rPr>
        <w:rFonts w:hint="default" w:ascii="Times New Roman" w:hAnsi="Times New Roman" w:cs="Times New Roman"/>
        <w:b w:val="0"/>
        <w:bCs w:val="0"/>
        <w:i w:val="0"/>
        <w:iCs w:val="0"/>
        <w:caps w:val="0"/>
        <w:strike w:val="0"/>
        <w:dstrike w:val="0"/>
        <w:vanish w:val="0"/>
        <w:color w:val="000000"/>
        <w:spacing w:val="0"/>
        <w:kern w:val="0"/>
        <w:position w:val="0"/>
        <w:sz w:val="24"/>
        <w:u w:val="none"/>
        <w:vertAlign w:val="baseline"/>
      </w:rPr>
    </w:lvl>
    <w:lvl w:ilvl="1" w:tentative="0">
      <w:start w:val="1"/>
      <w:numFmt w:val="russianLower"/>
      <w:suff w:val="space"/>
      <w:lvlText w:val="%1.%2"/>
      <w:lvlJc w:val="left"/>
      <w:pPr>
        <w:ind w:left="567" w:firstLine="567"/>
      </w:pPr>
      <w:rPr>
        <w:rFonts w:hint="default" w:ascii="Times New Roman" w:hAnsi="Times New Roman"/>
        <w:b/>
        <w:i w:val="0"/>
        <w:spacing w:val="0"/>
        <w:w w:val="100"/>
        <w:position w:val="0"/>
        <w:sz w:val="28"/>
        <w:szCs w:val="28"/>
      </w:rPr>
    </w:lvl>
    <w:lvl w:ilvl="2" w:tentative="0">
      <w:start w:val="1"/>
      <w:numFmt w:val="decimal"/>
      <w:suff w:val="space"/>
      <w:lvlText w:val="%1.%2.%3"/>
      <w:lvlJc w:val="left"/>
      <w:pPr>
        <w:ind w:left="567" w:firstLine="567"/>
      </w:pPr>
      <w:rPr>
        <w:rFonts w:hint="default" w:ascii="Times New Roman" w:hAnsi="Times New Roman"/>
        <w:b/>
        <w:i w:val="0"/>
        <w:color w:val="auto"/>
        <w:sz w:val="26"/>
      </w:rPr>
    </w:lvl>
    <w:lvl w:ilvl="3" w:tentative="0">
      <w:start w:val="1"/>
      <w:numFmt w:val="decimal"/>
      <w:suff w:val="space"/>
      <w:lvlText w:val="%1.%2.%3.%4"/>
      <w:lvlJc w:val="left"/>
      <w:pPr>
        <w:ind w:left="567" w:firstLine="567"/>
      </w:pPr>
      <w:rPr>
        <w:rFonts w:hint="default" w:ascii="Times New Roman" w:hAnsi="Times New Roman"/>
        <w:b/>
        <w:i w:val="0"/>
        <w:color w:val="auto"/>
        <w:spacing w:val="0"/>
        <w:w w:val="100"/>
        <w:position w:val="0"/>
        <w:sz w:val="24"/>
      </w:rPr>
    </w:lvl>
    <w:lvl w:ilvl="4" w:tentative="0">
      <w:start w:val="1"/>
      <w:numFmt w:val="decimal"/>
      <w:lvlText w:val="%1.%2.%3.%4.%5"/>
      <w:lvlJc w:val="left"/>
      <w:pPr>
        <w:tabs>
          <w:tab w:val="left" w:pos="2142"/>
        </w:tabs>
        <w:ind w:left="2142" w:hanging="1008"/>
      </w:pPr>
      <w:rPr>
        <w:rFonts w:hint="default"/>
      </w:rPr>
    </w:lvl>
    <w:lvl w:ilvl="5" w:tentative="0">
      <w:start w:val="1"/>
      <w:numFmt w:val="decimal"/>
      <w:lvlText w:val="%1.%2.%3.%4.%5.%6"/>
      <w:lvlJc w:val="left"/>
      <w:pPr>
        <w:tabs>
          <w:tab w:val="left" w:pos="2286"/>
        </w:tabs>
        <w:ind w:left="2286" w:hanging="1152"/>
      </w:pPr>
      <w:rPr>
        <w:rFonts w:hint="default"/>
      </w:rPr>
    </w:lvl>
    <w:lvl w:ilvl="6" w:tentative="0">
      <w:start w:val="1"/>
      <w:numFmt w:val="decimal"/>
      <w:lvlText w:val="%1.%2.%3.%4.%5.%6.%7"/>
      <w:lvlJc w:val="left"/>
      <w:pPr>
        <w:tabs>
          <w:tab w:val="left" w:pos="2430"/>
        </w:tabs>
        <w:ind w:left="2430" w:hanging="1296"/>
      </w:pPr>
      <w:rPr>
        <w:rFonts w:hint="default"/>
      </w:rPr>
    </w:lvl>
    <w:lvl w:ilvl="7" w:tentative="0">
      <w:start w:val="1"/>
      <w:numFmt w:val="decimal"/>
      <w:lvlText w:val="%1.%2.%3.%4.%5.%6.%7.%8"/>
      <w:lvlJc w:val="left"/>
      <w:pPr>
        <w:tabs>
          <w:tab w:val="left" w:pos="2574"/>
        </w:tabs>
        <w:ind w:left="2574" w:hanging="1440"/>
      </w:pPr>
      <w:rPr>
        <w:rFonts w:hint="default"/>
      </w:rPr>
    </w:lvl>
    <w:lvl w:ilvl="8" w:tentative="0">
      <w:start w:val="1"/>
      <w:numFmt w:val="decimal"/>
      <w:lvlText w:val="%1.%2.%3.%4.%5.%6.%7.%8.%9"/>
      <w:lvlJc w:val="left"/>
      <w:pPr>
        <w:tabs>
          <w:tab w:val="left" w:pos="2718"/>
        </w:tabs>
        <w:ind w:left="2718" w:hanging="1584"/>
      </w:pPr>
      <w:rPr>
        <w:rFonts w:hint="default"/>
      </w:rPr>
    </w:lvl>
  </w:abstractNum>
  <w:abstractNum w:abstractNumId="13">
    <w:nsid w:val="18DD1792"/>
    <w:multiLevelType w:val="multilevel"/>
    <w:tmpl w:val="18DD1792"/>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4">
    <w:nsid w:val="1EAA1F55"/>
    <w:multiLevelType w:val="multilevel"/>
    <w:tmpl w:val="1EAA1F55"/>
    <w:lvl w:ilvl="0" w:tentative="0">
      <w:start w:val="2"/>
      <w:numFmt w:val="decimal"/>
      <w:lvlText w:val="%1"/>
      <w:lvlJc w:val="left"/>
      <w:pPr>
        <w:ind w:left="576" w:hanging="576"/>
      </w:pPr>
      <w:rPr>
        <w:rFonts w:hint="default"/>
      </w:rPr>
    </w:lvl>
    <w:lvl w:ilvl="1" w:tentative="0">
      <w:start w:val="8"/>
      <w:numFmt w:val="decimal"/>
      <w:lvlText w:val="%1.%2"/>
      <w:lvlJc w:val="left"/>
      <w:pPr>
        <w:ind w:left="3559" w:hanging="576"/>
      </w:pPr>
      <w:rPr>
        <w:rFonts w:hint="default"/>
      </w:rPr>
    </w:lvl>
    <w:lvl w:ilvl="2" w:tentative="0">
      <w:start w:val="4"/>
      <w:numFmt w:val="decimal"/>
      <w:lvlText w:val="%1.%2.%3"/>
      <w:lvlJc w:val="left"/>
      <w:pPr>
        <w:ind w:left="6686" w:hanging="720"/>
      </w:pPr>
      <w:rPr>
        <w:rFonts w:hint="default"/>
      </w:rPr>
    </w:lvl>
    <w:lvl w:ilvl="3" w:tentative="0">
      <w:start w:val="1"/>
      <w:numFmt w:val="decimal"/>
      <w:lvlText w:val="%1.%2.%3.%4"/>
      <w:lvlJc w:val="left"/>
      <w:pPr>
        <w:ind w:left="10029" w:hanging="1080"/>
      </w:pPr>
      <w:rPr>
        <w:rFonts w:hint="default"/>
      </w:rPr>
    </w:lvl>
    <w:lvl w:ilvl="4" w:tentative="0">
      <w:start w:val="1"/>
      <w:numFmt w:val="decimal"/>
      <w:lvlText w:val="%1.%2.%3.%4.%5"/>
      <w:lvlJc w:val="left"/>
      <w:pPr>
        <w:ind w:left="13012" w:hanging="1080"/>
      </w:pPr>
      <w:rPr>
        <w:rFonts w:hint="default"/>
      </w:rPr>
    </w:lvl>
    <w:lvl w:ilvl="5" w:tentative="0">
      <w:start w:val="1"/>
      <w:numFmt w:val="decimal"/>
      <w:lvlText w:val="%1.%2.%3.%4.%5.%6"/>
      <w:lvlJc w:val="left"/>
      <w:pPr>
        <w:ind w:left="16355" w:hanging="1440"/>
      </w:pPr>
      <w:rPr>
        <w:rFonts w:hint="default"/>
      </w:rPr>
    </w:lvl>
    <w:lvl w:ilvl="6" w:tentative="0">
      <w:start w:val="1"/>
      <w:numFmt w:val="decimal"/>
      <w:lvlText w:val="%1.%2.%3.%4.%5.%6.%7"/>
      <w:lvlJc w:val="left"/>
      <w:pPr>
        <w:ind w:left="19338" w:hanging="1440"/>
      </w:pPr>
      <w:rPr>
        <w:rFonts w:hint="default"/>
      </w:rPr>
    </w:lvl>
    <w:lvl w:ilvl="7" w:tentative="0">
      <w:start w:val="1"/>
      <w:numFmt w:val="decimal"/>
      <w:lvlText w:val="%1.%2.%3.%4.%5.%6.%7.%8"/>
      <w:lvlJc w:val="left"/>
      <w:pPr>
        <w:ind w:left="22681" w:hanging="1800"/>
      </w:pPr>
      <w:rPr>
        <w:rFonts w:hint="default"/>
      </w:rPr>
    </w:lvl>
    <w:lvl w:ilvl="8" w:tentative="0">
      <w:start w:val="1"/>
      <w:numFmt w:val="decimal"/>
      <w:lvlText w:val="%1.%2.%3.%4.%5.%6.%7.%8.%9"/>
      <w:lvlJc w:val="left"/>
      <w:pPr>
        <w:ind w:left="26024" w:hanging="2160"/>
      </w:pPr>
      <w:rPr>
        <w:rFonts w:hint="default"/>
      </w:rPr>
    </w:lvl>
  </w:abstractNum>
  <w:abstractNum w:abstractNumId="15">
    <w:nsid w:val="21591B01"/>
    <w:multiLevelType w:val="multilevel"/>
    <w:tmpl w:val="21591B01"/>
    <w:lvl w:ilvl="0" w:tentative="0">
      <w:start w:val="14"/>
      <w:numFmt w:val="none"/>
      <w:lvlText w:val=""/>
      <w:lvlJc w:val="left"/>
      <w:pPr>
        <w:ind w:left="360" w:hanging="360"/>
      </w:pPr>
      <w:rPr>
        <w:rFonts w:hint="default"/>
      </w:rPr>
    </w:lvl>
    <w:lvl w:ilvl="1" w:tentative="0">
      <w:start w:val="5"/>
      <w:numFmt w:val="decimal"/>
      <w:lvlText w:val="%2."/>
      <w:lvlJc w:val="left"/>
      <w:pPr>
        <w:ind w:left="851" w:hanging="491"/>
      </w:pPr>
      <w:rPr>
        <w:rFonts w:hint="default"/>
      </w:rPr>
    </w:lvl>
    <w:lvl w:ilvl="2" w:tentative="0">
      <w:start w:val="1"/>
      <w:numFmt w:val="decimal"/>
      <w:suff w:val="space"/>
      <w:lvlText w:val="3.%3 "/>
      <w:lvlJc w:val="left"/>
      <w:pPr>
        <w:ind w:left="1224" w:hanging="504"/>
      </w:pPr>
      <w:rPr>
        <w:rFonts w:hint="default"/>
      </w:rPr>
    </w:lvl>
    <w:lvl w:ilvl="3" w:tentative="0">
      <w:start w:val="1"/>
      <w:numFmt w:val="decimal"/>
      <w:suff w:val="space"/>
      <w:lvlText w:val="4.%3.%4"/>
      <w:lvlJc w:val="left"/>
      <w:pPr>
        <w:ind w:left="1728" w:hanging="651"/>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6">
    <w:nsid w:val="22F138F1"/>
    <w:multiLevelType w:val="multilevel"/>
    <w:tmpl w:val="22F138F1"/>
    <w:lvl w:ilvl="0" w:tentative="0">
      <w:start w:val="1"/>
      <w:numFmt w:val="bullet"/>
      <w:pStyle w:val="649"/>
      <w:lvlText w:val=""/>
      <w:lvlJc w:val="left"/>
      <w:pPr>
        <w:tabs>
          <w:tab w:val="left" w:pos="1354"/>
        </w:tabs>
        <w:ind w:left="1354" w:hanging="454"/>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240811B6"/>
    <w:multiLevelType w:val="multilevel"/>
    <w:tmpl w:val="240811B6"/>
    <w:lvl w:ilvl="0" w:tentative="0">
      <w:start w:val="2"/>
      <w:numFmt w:val="decimal"/>
      <w:lvlText w:val="%1"/>
      <w:lvlJc w:val="left"/>
      <w:pPr>
        <w:ind w:left="375" w:hanging="375"/>
      </w:pPr>
      <w:rPr>
        <w:rFonts w:hint="default"/>
      </w:rPr>
    </w:lvl>
    <w:lvl w:ilvl="1" w:tentative="0">
      <w:start w:val="6"/>
      <w:numFmt w:val="decimal"/>
      <w:lvlText w:val="%1.%2"/>
      <w:lvlJc w:val="left"/>
      <w:pPr>
        <w:ind w:left="1440" w:hanging="72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18">
    <w:nsid w:val="253E6FA3"/>
    <w:multiLevelType w:val="multilevel"/>
    <w:tmpl w:val="253E6FA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9">
    <w:nsid w:val="293D372A"/>
    <w:multiLevelType w:val="multilevel"/>
    <w:tmpl w:val="293D372A"/>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20">
    <w:nsid w:val="298D4F27"/>
    <w:multiLevelType w:val="multilevel"/>
    <w:tmpl w:val="298D4F27"/>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9AC61D6"/>
    <w:multiLevelType w:val="multilevel"/>
    <w:tmpl w:val="29AC61D6"/>
    <w:lvl w:ilvl="0" w:tentative="0">
      <w:start w:val="1"/>
      <w:numFmt w:val="bullet"/>
      <w:pStyle w:val="746"/>
      <w:lvlText w:val="−"/>
      <w:lvlJc w:val="left"/>
      <w:pPr>
        <w:ind w:left="1571" w:hanging="360"/>
      </w:pPr>
      <w:rPr>
        <w:rFonts w:hint="default" w:ascii="Courier New" w:hAnsi="Courier New" w:cs="Times New Roman"/>
        <w:color w:val="auto"/>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22">
    <w:nsid w:val="2A3D1DEE"/>
    <w:multiLevelType w:val="multilevel"/>
    <w:tmpl w:val="2A3D1DEE"/>
    <w:lvl w:ilvl="0" w:tentative="0">
      <w:start w:val="2"/>
      <w:numFmt w:val="decimal"/>
      <w:lvlText w:val="%1"/>
      <w:lvlJc w:val="left"/>
      <w:pPr>
        <w:ind w:left="375" w:hanging="375"/>
      </w:pPr>
      <w:rPr>
        <w:rFonts w:hint="default"/>
      </w:rPr>
    </w:lvl>
    <w:lvl w:ilvl="1" w:tentative="0">
      <w:start w:val="5"/>
      <w:numFmt w:val="decimal"/>
      <w:lvlText w:val="%1.%2"/>
      <w:lvlJc w:val="left"/>
      <w:pPr>
        <w:ind w:left="1440" w:hanging="72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23">
    <w:nsid w:val="2A8E51C9"/>
    <w:multiLevelType w:val="multilevel"/>
    <w:tmpl w:val="2A8E51C9"/>
    <w:lvl w:ilvl="0" w:tentative="0">
      <w:start w:val="1"/>
      <w:numFmt w:val="bullet"/>
      <w:lvlText w:val=""/>
      <w:lvlJc w:val="left"/>
      <w:pPr>
        <w:tabs>
          <w:tab w:val="left" w:pos="567"/>
        </w:tabs>
        <w:ind w:left="0" w:firstLine="454"/>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4">
    <w:nsid w:val="2C557F61"/>
    <w:multiLevelType w:val="multilevel"/>
    <w:tmpl w:val="2C557F61"/>
    <w:lvl w:ilvl="0" w:tentative="0">
      <w:start w:val="1"/>
      <w:numFmt w:val="decimal"/>
      <w:pStyle w:val="388"/>
      <w:lvlText w:val="%1"/>
      <w:lvlJc w:val="left"/>
      <w:pPr>
        <w:tabs>
          <w:tab w:val="left" w:pos="340"/>
        </w:tabs>
        <w:ind w:left="0" w:firstLine="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5">
    <w:nsid w:val="32FD46D1"/>
    <w:multiLevelType w:val="multilevel"/>
    <w:tmpl w:val="32FD46D1"/>
    <w:lvl w:ilvl="0" w:tentative="0">
      <w:start w:val="1"/>
      <w:numFmt w:val="none"/>
      <w:pStyle w:val="69"/>
      <w:lvlText w:val=""/>
      <w:lvlJc w:val="left"/>
      <w:pPr>
        <w:ind w:left="360" w:hanging="360"/>
      </w:pPr>
      <w:rPr>
        <w:rFonts w:hint="default"/>
      </w:rPr>
    </w:lvl>
    <w:lvl w:ilvl="1" w:tentative="0">
      <w:start w:val="1"/>
      <w:numFmt w:val="decimal"/>
      <w:lvlText w:val="%2."/>
      <w:lvlJc w:val="left"/>
      <w:pPr>
        <w:ind w:left="792" w:hanging="432"/>
      </w:pPr>
      <w:rPr>
        <w:rFonts w:hint="default"/>
      </w:rPr>
    </w:lvl>
    <w:lvl w:ilvl="2" w:tentative="0">
      <w:start w:val="1"/>
      <w:numFmt w:val="decimal"/>
      <w:lvlText w:val="%2.%3."/>
      <w:lvlJc w:val="left"/>
      <w:pPr>
        <w:ind w:left="1224" w:hanging="504"/>
      </w:pPr>
      <w:rPr>
        <w:rFonts w:hint="default"/>
      </w:rPr>
    </w:lvl>
    <w:lvl w:ilvl="3" w:tentative="0">
      <w:start w:val="1"/>
      <w:numFmt w:val="decimal"/>
      <w:lvlText w:val="%2.%3.%4."/>
      <w:lvlJc w:val="left"/>
      <w:pPr>
        <w:ind w:left="1728" w:hanging="648"/>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6">
    <w:nsid w:val="336C02B7"/>
    <w:multiLevelType w:val="multilevel"/>
    <w:tmpl w:val="336C02B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34DE5C0C"/>
    <w:multiLevelType w:val="multilevel"/>
    <w:tmpl w:val="34DE5C0C"/>
    <w:lvl w:ilvl="0" w:tentative="0">
      <w:start w:val="14"/>
      <w:numFmt w:val="none"/>
      <w:lvlText w:val=""/>
      <w:lvlJc w:val="left"/>
      <w:pPr>
        <w:ind w:left="360" w:hanging="360"/>
      </w:pPr>
      <w:rPr>
        <w:rFonts w:hint="default"/>
      </w:rPr>
    </w:lvl>
    <w:lvl w:ilvl="1" w:tentative="0">
      <w:start w:val="2"/>
      <w:numFmt w:val="decimal"/>
      <w:lvlText w:val="%2."/>
      <w:lvlJc w:val="left"/>
      <w:pPr>
        <w:ind w:left="851" w:hanging="491"/>
      </w:pPr>
      <w:rPr>
        <w:rFonts w:hint="default"/>
      </w:rPr>
    </w:lvl>
    <w:lvl w:ilvl="2" w:tentative="0">
      <w:start w:val="1"/>
      <w:numFmt w:val="decimal"/>
      <w:suff w:val="space"/>
      <w:lvlText w:val="%2.%3 "/>
      <w:lvlJc w:val="left"/>
      <w:pPr>
        <w:ind w:left="1224" w:hanging="504"/>
      </w:pPr>
      <w:rPr>
        <w:rFonts w:hint="default"/>
      </w:rPr>
    </w:lvl>
    <w:lvl w:ilvl="3" w:tentative="0">
      <w:start w:val="1"/>
      <w:numFmt w:val="decimal"/>
      <w:suff w:val="space"/>
      <w:lvlText w:val="%2.%3.%4"/>
      <w:lvlJc w:val="left"/>
      <w:pPr>
        <w:ind w:left="1728" w:hanging="651"/>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8">
    <w:nsid w:val="35E3009D"/>
    <w:multiLevelType w:val="multilevel"/>
    <w:tmpl w:val="35E3009D"/>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29">
    <w:nsid w:val="38863CEC"/>
    <w:multiLevelType w:val="multilevel"/>
    <w:tmpl w:val="38863CEC"/>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30">
    <w:nsid w:val="398D162D"/>
    <w:multiLevelType w:val="multilevel"/>
    <w:tmpl w:val="398D162D"/>
    <w:lvl w:ilvl="0" w:tentative="0">
      <w:start w:val="1"/>
      <w:numFmt w:val="bullet"/>
      <w:lvlText w:val=""/>
      <w:lvlJc w:val="left"/>
      <w:pPr>
        <w:ind w:left="1068" w:hanging="360"/>
      </w:pPr>
      <w:rPr>
        <w:rFonts w:hint="default" w:ascii="Symbol" w:hAnsi="Symbol"/>
        <w:color w:val="auto"/>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31">
    <w:nsid w:val="3B270996"/>
    <w:multiLevelType w:val="multilevel"/>
    <w:tmpl w:val="3B270996"/>
    <w:lvl w:ilvl="0" w:tentative="0">
      <w:start w:val="4"/>
      <w:numFmt w:val="decimal"/>
      <w:lvlText w:val="%1"/>
      <w:lvlJc w:val="left"/>
      <w:pPr>
        <w:ind w:left="525" w:hanging="525"/>
      </w:pPr>
      <w:rPr>
        <w:rFonts w:hint="default"/>
      </w:rPr>
    </w:lvl>
    <w:lvl w:ilvl="1" w:tentative="0">
      <w:start w:val="2"/>
      <w:numFmt w:val="decimal"/>
      <w:lvlText w:val="%2.11"/>
      <w:lvlJc w:val="left"/>
      <w:pPr>
        <w:ind w:left="1997" w:hanging="720"/>
      </w:pPr>
      <w:rPr>
        <w:rFonts w:hint="default"/>
      </w:rPr>
    </w:lvl>
    <w:lvl w:ilvl="2" w:tentative="0">
      <w:start w:val="1"/>
      <w:numFmt w:val="decimal"/>
      <w:lvlText w:val="%1.%2.%3"/>
      <w:lvlJc w:val="left"/>
      <w:pPr>
        <w:ind w:left="4124" w:hanging="720"/>
      </w:pPr>
      <w:rPr>
        <w:rFonts w:hint="default"/>
      </w:rPr>
    </w:lvl>
    <w:lvl w:ilvl="3" w:tentative="0">
      <w:start w:val="1"/>
      <w:numFmt w:val="decimal"/>
      <w:lvlText w:val="%1.%2.%3.%4"/>
      <w:lvlJc w:val="left"/>
      <w:pPr>
        <w:ind w:left="6186" w:hanging="1080"/>
      </w:pPr>
      <w:rPr>
        <w:rFonts w:hint="default"/>
      </w:rPr>
    </w:lvl>
    <w:lvl w:ilvl="4" w:tentative="0">
      <w:start w:val="1"/>
      <w:numFmt w:val="decimal"/>
      <w:lvlText w:val="%1.%2.%3.%4.%5"/>
      <w:lvlJc w:val="left"/>
      <w:pPr>
        <w:ind w:left="7888" w:hanging="1080"/>
      </w:pPr>
      <w:rPr>
        <w:rFonts w:hint="default"/>
      </w:rPr>
    </w:lvl>
    <w:lvl w:ilvl="5" w:tentative="0">
      <w:start w:val="1"/>
      <w:numFmt w:val="decimal"/>
      <w:lvlText w:val="%1.%2.%3.%4.%5.%6"/>
      <w:lvlJc w:val="left"/>
      <w:pPr>
        <w:ind w:left="9950" w:hanging="1440"/>
      </w:pPr>
      <w:rPr>
        <w:rFonts w:hint="default"/>
      </w:rPr>
    </w:lvl>
    <w:lvl w:ilvl="6" w:tentative="0">
      <w:start w:val="1"/>
      <w:numFmt w:val="decimal"/>
      <w:lvlText w:val="%1.%2.%3.%4.%5.%6.%7"/>
      <w:lvlJc w:val="left"/>
      <w:pPr>
        <w:ind w:left="12012" w:hanging="1800"/>
      </w:pPr>
      <w:rPr>
        <w:rFonts w:hint="default"/>
      </w:rPr>
    </w:lvl>
    <w:lvl w:ilvl="7" w:tentative="0">
      <w:start w:val="1"/>
      <w:numFmt w:val="decimal"/>
      <w:lvlText w:val="%1.%2.%3.%4.%5.%6.%7.%8"/>
      <w:lvlJc w:val="left"/>
      <w:pPr>
        <w:ind w:left="13714" w:hanging="1800"/>
      </w:pPr>
      <w:rPr>
        <w:rFonts w:hint="default"/>
      </w:rPr>
    </w:lvl>
    <w:lvl w:ilvl="8" w:tentative="0">
      <w:start w:val="1"/>
      <w:numFmt w:val="decimal"/>
      <w:lvlText w:val="%1.%2.%3.%4.%5.%6.%7.%8.%9"/>
      <w:lvlJc w:val="left"/>
      <w:pPr>
        <w:ind w:left="15776" w:hanging="2160"/>
      </w:pPr>
      <w:rPr>
        <w:rFonts w:hint="default"/>
      </w:rPr>
    </w:lvl>
  </w:abstractNum>
  <w:abstractNum w:abstractNumId="32">
    <w:nsid w:val="3C787DD9"/>
    <w:multiLevelType w:val="multilevel"/>
    <w:tmpl w:val="3C787DD9"/>
    <w:lvl w:ilvl="0" w:tentative="0">
      <w:start w:val="1"/>
      <w:numFmt w:val="bullet"/>
      <w:pStyle w:val="737"/>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3F513875"/>
    <w:multiLevelType w:val="multilevel"/>
    <w:tmpl w:val="3F513875"/>
    <w:lvl w:ilvl="0" w:tentative="0">
      <w:start w:val="1"/>
      <w:numFmt w:val="bullet"/>
      <w:lvlText w:val=""/>
      <w:lvlJc w:val="left"/>
      <w:pPr>
        <w:ind w:left="1776" w:hanging="360"/>
      </w:pPr>
      <w:rPr>
        <w:rFonts w:hint="default" w:ascii="Symbol" w:hAnsi="Symbol"/>
      </w:rPr>
    </w:lvl>
    <w:lvl w:ilvl="1" w:tentative="0">
      <w:start w:val="1"/>
      <w:numFmt w:val="bullet"/>
      <w:lvlText w:val="o"/>
      <w:lvlJc w:val="left"/>
      <w:pPr>
        <w:ind w:left="2496" w:hanging="360"/>
      </w:pPr>
      <w:rPr>
        <w:rFonts w:hint="default" w:ascii="Courier New" w:hAnsi="Courier New" w:cs="Courier New"/>
      </w:rPr>
    </w:lvl>
    <w:lvl w:ilvl="2" w:tentative="0">
      <w:start w:val="1"/>
      <w:numFmt w:val="bullet"/>
      <w:lvlText w:val=""/>
      <w:lvlJc w:val="left"/>
      <w:pPr>
        <w:ind w:left="3216" w:hanging="360"/>
      </w:pPr>
      <w:rPr>
        <w:rFonts w:hint="default" w:ascii="Wingdings" w:hAnsi="Wingdings"/>
      </w:rPr>
    </w:lvl>
    <w:lvl w:ilvl="3" w:tentative="0">
      <w:start w:val="1"/>
      <w:numFmt w:val="bullet"/>
      <w:lvlText w:val=""/>
      <w:lvlJc w:val="left"/>
      <w:pPr>
        <w:ind w:left="3936" w:hanging="360"/>
      </w:pPr>
      <w:rPr>
        <w:rFonts w:hint="default" w:ascii="Symbol" w:hAnsi="Symbol"/>
      </w:rPr>
    </w:lvl>
    <w:lvl w:ilvl="4" w:tentative="0">
      <w:start w:val="1"/>
      <w:numFmt w:val="bullet"/>
      <w:lvlText w:val="o"/>
      <w:lvlJc w:val="left"/>
      <w:pPr>
        <w:ind w:left="4656" w:hanging="360"/>
      </w:pPr>
      <w:rPr>
        <w:rFonts w:hint="default" w:ascii="Courier New" w:hAnsi="Courier New" w:cs="Courier New"/>
      </w:rPr>
    </w:lvl>
    <w:lvl w:ilvl="5" w:tentative="0">
      <w:start w:val="1"/>
      <w:numFmt w:val="bullet"/>
      <w:lvlText w:val=""/>
      <w:lvlJc w:val="left"/>
      <w:pPr>
        <w:ind w:left="5376" w:hanging="360"/>
      </w:pPr>
      <w:rPr>
        <w:rFonts w:hint="default" w:ascii="Wingdings" w:hAnsi="Wingdings"/>
      </w:rPr>
    </w:lvl>
    <w:lvl w:ilvl="6" w:tentative="0">
      <w:start w:val="1"/>
      <w:numFmt w:val="bullet"/>
      <w:lvlText w:val=""/>
      <w:lvlJc w:val="left"/>
      <w:pPr>
        <w:ind w:left="6096" w:hanging="360"/>
      </w:pPr>
      <w:rPr>
        <w:rFonts w:hint="default" w:ascii="Symbol" w:hAnsi="Symbol"/>
      </w:rPr>
    </w:lvl>
    <w:lvl w:ilvl="7" w:tentative="0">
      <w:start w:val="1"/>
      <w:numFmt w:val="bullet"/>
      <w:lvlText w:val="o"/>
      <w:lvlJc w:val="left"/>
      <w:pPr>
        <w:ind w:left="6816" w:hanging="360"/>
      </w:pPr>
      <w:rPr>
        <w:rFonts w:hint="default" w:ascii="Courier New" w:hAnsi="Courier New" w:cs="Courier New"/>
      </w:rPr>
    </w:lvl>
    <w:lvl w:ilvl="8" w:tentative="0">
      <w:start w:val="1"/>
      <w:numFmt w:val="bullet"/>
      <w:lvlText w:val=""/>
      <w:lvlJc w:val="left"/>
      <w:pPr>
        <w:ind w:left="7536" w:hanging="360"/>
      </w:pPr>
      <w:rPr>
        <w:rFonts w:hint="default" w:ascii="Wingdings" w:hAnsi="Wingdings"/>
      </w:rPr>
    </w:lvl>
  </w:abstractNum>
  <w:abstractNum w:abstractNumId="34">
    <w:nsid w:val="491A3676"/>
    <w:multiLevelType w:val="multilevel"/>
    <w:tmpl w:val="491A3676"/>
    <w:lvl w:ilvl="0" w:tentative="0">
      <w:start w:val="4"/>
      <w:numFmt w:val="decimal"/>
      <w:lvlText w:val="%1"/>
      <w:lvlJc w:val="left"/>
      <w:pPr>
        <w:ind w:left="525" w:hanging="525"/>
      </w:pPr>
      <w:rPr>
        <w:rFonts w:hint="default"/>
      </w:rPr>
    </w:lvl>
    <w:lvl w:ilvl="1" w:tentative="0">
      <w:start w:val="2"/>
      <w:numFmt w:val="decimal"/>
      <w:lvlText w:val="%2.13"/>
      <w:lvlJc w:val="left"/>
      <w:pPr>
        <w:ind w:left="1004" w:hanging="720"/>
      </w:pPr>
      <w:rPr>
        <w:rFonts w:hint="default"/>
      </w:rPr>
    </w:lvl>
    <w:lvl w:ilvl="2" w:tentative="0">
      <w:start w:val="4"/>
      <w:numFmt w:val="decimal"/>
      <w:lvlText w:val="%3.13"/>
      <w:lvlJc w:val="left"/>
      <w:pPr>
        <w:ind w:left="4124" w:hanging="720"/>
      </w:pPr>
      <w:rPr>
        <w:rFonts w:hint="default"/>
      </w:rPr>
    </w:lvl>
    <w:lvl w:ilvl="3" w:tentative="0">
      <w:start w:val="1"/>
      <w:numFmt w:val="decimal"/>
      <w:lvlText w:val="%1.%2.%3.%4"/>
      <w:lvlJc w:val="left"/>
      <w:pPr>
        <w:ind w:left="6186" w:hanging="1080"/>
      </w:pPr>
      <w:rPr>
        <w:rFonts w:hint="default"/>
      </w:rPr>
    </w:lvl>
    <w:lvl w:ilvl="4" w:tentative="0">
      <w:start w:val="1"/>
      <w:numFmt w:val="decimal"/>
      <w:lvlText w:val="%1.%2.%3.%4.%5"/>
      <w:lvlJc w:val="left"/>
      <w:pPr>
        <w:ind w:left="7888" w:hanging="1080"/>
      </w:pPr>
      <w:rPr>
        <w:rFonts w:hint="default"/>
      </w:rPr>
    </w:lvl>
    <w:lvl w:ilvl="5" w:tentative="0">
      <w:start w:val="1"/>
      <w:numFmt w:val="decimal"/>
      <w:lvlText w:val="%1.%2.%3.%4.%5.%6"/>
      <w:lvlJc w:val="left"/>
      <w:pPr>
        <w:ind w:left="9950" w:hanging="1440"/>
      </w:pPr>
      <w:rPr>
        <w:rFonts w:hint="default"/>
      </w:rPr>
    </w:lvl>
    <w:lvl w:ilvl="6" w:tentative="0">
      <w:start w:val="1"/>
      <w:numFmt w:val="decimal"/>
      <w:lvlText w:val="%1.%2.%3.%4.%5.%6.%7"/>
      <w:lvlJc w:val="left"/>
      <w:pPr>
        <w:ind w:left="12012" w:hanging="1800"/>
      </w:pPr>
      <w:rPr>
        <w:rFonts w:hint="default"/>
      </w:rPr>
    </w:lvl>
    <w:lvl w:ilvl="7" w:tentative="0">
      <w:start w:val="1"/>
      <w:numFmt w:val="decimal"/>
      <w:lvlText w:val="%1.%2.%3.%4.%5.%6.%7.%8"/>
      <w:lvlJc w:val="left"/>
      <w:pPr>
        <w:ind w:left="13714" w:hanging="1800"/>
      </w:pPr>
      <w:rPr>
        <w:rFonts w:hint="default"/>
      </w:rPr>
    </w:lvl>
    <w:lvl w:ilvl="8" w:tentative="0">
      <w:start w:val="1"/>
      <w:numFmt w:val="decimal"/>
      <w:lvlText w:val="%1.%2.%3.%4.%5.%6.%7.%8.%9"/>
      <w:lvlJc w:val="left"/>
      <w:pPr>
        <w:ind w:left="15776" w:hanging="2160"/>
      </w:pPr>
      <w:rPr>
        <w:rFonts w:hint="default"/>
      </w:rPr>
    </w:lvl>
  </w:abstractNum>
  <w:abstractNum w:abstractNumId="35">
    <w:nsid w:val="49395772"/>
    <w:multiLevelType w:val="multilevel"/>
    <w:tmpl w:val="49395772"/>
    <w:lvl w:ilvl="0" w:tentative="0">
      <w:start w:val="1"/>
      <w:numFmt w:val="decimal"/>
      <w:lvlText w:val="%1."/>
      <w:lvlJc w:val="left"/>
      <w:pPr>
        <w:ind w:left="648" w:hanging="648"/>
      </w:pPr>
      <w:rPr>
        <w:rFonts w:hint="default"/>
      </w:rPr>
    </w:lvl>
    <w:lvl w:ilvl="1" w:tentative="0">
      <w:start w:val="3"/>
      <w:numFmt w:val="decimal"/>
      <w:lvlText w:val="%1.%2."/>
      <w:lvlJc w:val="left"/>
      <w:pPr>
        <w:ind w:left="1584" w:hanging="720"/>
      </w:pPr>
      <w:rPr>
        <w:rFonts w:hint="default"/>
      </w:rPr>
    </w:lvl>
    <w:lvl w:ilvl="2" w:tentative="0">
      <w:start w:val="3"/>
      <w:numFmt w:val="decimal"/>
      <w:lvlText w:val="%1.%2.%3."/>
      <w:lvlJc w:val="left"/>
      <w:pPr>
        <w:ind w:left="2448" w:hanging="720"/>
      </w:pPr>
      <w:rPr>
        <w:rFonts w:hint="default"/>
      </w:rPr>
    </w:lvl>
    <w:lvl w:ilvl="3" w:tentative="0">
      <w:start w:val="1"/>
      <w:numFmt w:val="decimal"/>
      <w:lvlText w:val="%1.%2.%3.%4."/>
      <w:lvlJc w:val="left"/>
      <w:pPr>
        <w:ind w:left="3672" w:hanging="1080"/>
      </w:pPr>
      <w:rPr>
        <w:rFonts w:hint="default"/>
      </w:rPr>
    </w:lvl>
    <w:lvl w:ilvl="4" w:tentative="0">
      <w:start w:val="1"/>
      <w:numFmt w:val="decimal"/>
      <w:lvlText w:val="%1.%2.%3.%4.%5."/>
      <w:lvlJc w:val="left"/>
      <w:pPr>
        <w:ind w:left="4536" w:hanging="1080"/>
      </w:pPr>
      <w:rPr>
        <w:rFonts w:hint="default"/>
      </w:rPr>
    </w:lvl>
    <w:lvl w:ilvl="5" w:tentative="0">
      <w:start w:val="1"/>
      <w:numFmt w:val="decimal"/>
      <w:lvlText w:val="%1.%2.%3.%4.%5.%6."/>
      <w:lvlJc w:val="left"/>
      <w:pPr>
        <w:ind w:left="5760" w:hanging="1440"/>
      </w:pPr>
      <w:rPr>
        <w:rFonts w:hint="default"/>
      </w:rPr>
    </w:lvl>
    <w:lvl w:ilvl="6" w:tentative="0">
      <w:start w:val="1"/>
      <w:numFmt w:val="decimal"/>
      <w:lvlText w:val="%1.%2.%3.%4.%5.%6.%7."/>
      <w:lvlJc w:val="left"/>
      <w:pPr>
        <w:ind w:left="6984" w:hanging="1800"/>
      </w:pPr>
      <w:rPr>
        <w:rFonts w:hint="default"/>
      </w:rPr>
    </w:lvl>
    <w:lvl w:ilvl="7" w:tentative="0">
      <w:start w:val="1"/>
      <w:numFmt w:val="decimal"/>
      <w:lvlText w:val="%1.%2.%3.%4.%5.%6.%7.%8."/>
      <w:lvlJc w:val="left"/>
      <w:pPr>
        <w:ind w:left="7848" w:hanging="1800"/>
      </w:pPr>
      <w:rPr>
        <w:rFonts w:hint="default"/>
      </w:rPr>
    </w:lvl>
    <w:lvl w:ilvl="8" w:tentative="0">
      <w:start w:val="1"/>
      <w:numFmt w:val="decimal"/>
      <w:lvlText w:val="%1.%2.%3.%4.%5.%6.%7.%8.%9."/>
      <w:lvlJc w:val="left"/>
      <w:pPr>
        <w:ind w:left="9072" w:hanging="2160"/>
      </w:pPr>
      <w:rPr>
        <w:rFonts w:hint="default"/>
      </w:rPr>
    </w:lvl>
  </w:abstractNum>
  <w:abstractNum w:abstractNumId="36">
    <w:nsid w:val="4A2F353E"/>
    <w:multiLevelType w:val="multilevel"/>
    <w:tmpl w:val="4A2F353E"/>
    <w:lvl w:ilvl="0" w:tentative="0">
      <w:start w:val="1"/>
      <w:numFmt w:val="decimal"/>
      <w:pStyle w:val="776"/>
      <w:lvlText w:val="Рисунок. %1"/>
      <w:lvlJc w:val="left"/>
      <w:pPr>
        <w:tabs>
          <w:tab w:val="left" w:pos="2149"/>
        </w:tabs>
        <w:ind w:left="2149" w:hanging="360"/>
      </w:pPr>
      <w:rPr>
        <w:rFonts w:hint="default"/>
      </w:rPr>
    </w:lvl>
    <w:lvl w:ilvl="1" w:tentative="0">
      <w:start w:val="1"/>
      <w:numFmt w:val="lowerLetter"/>
      <w:lvlText w:val="%2."/>
      <w:lvlJc w:val="left"/>
      <w:pPr>
        <w:tabs>
          <w:tab w:val="left" w:pos="2149"/>
        </w:tabs>
        <w:ind w:left="2149" w:hanging="360"/>
      </w:pPr>
    </w:lvl>
    <w:lvl w:ilvl="2" w:tentative="0">
      <w:start w:val="1"/>
      <w:numFmt w:val="lowerRoman"/>
      <w:lvlText w:val="%3."/>
      <w:lvlJc w:val="right"/>
      <w:pPr>
        <w:tabs>
          <w:tab w:val="left" w:pos="2869"/>
        </w:tabs>
        <w:ind w:left="2869" w:hanging="180"/>
      </w:pPr>
    </w:lvl>
    <w:lvl w:ilvl="3" w:tentative="0">
      <w:start w:val="1"/>
      <w:numFmt w:val="decimal"/>
      <w:lvlText w:val="%4."/>
      <w:lvlJc w:val="left"/>
      <w:pPr>
        <w:tabs>
          <w:tab w:val="left" w:pos="3589"/>
        </w:tabs>
        <w:ind w:left="3589" w:hanging="360"/>
      </w:pPr>
    </w:lvl>
    <w:lvl w:ilvl="4" w:tentative="0">
      <w:start w:val="1"/>
      <w:numFmt w:val="lowerLetter"/>
      <w:lvlText w:val="%5."/>
      <w:lvlJc w:val="left"/>
      <w:pPr>
        <w:tabs>
          <w:tab w:val="left" w:pos="4309"/>
        </w:tabs>
        <w:ind w:left="4309" w:hanging="360"/>
      </w:pPr>
    </w:lvl>
    <w:lvl w:ilvl="5" w:tentative="0">
      <w:start w:val="1"/>
      <w:numFmt w:val="lowerRoman"/>
      <w:lvlText w:val="%6."/>
      <w:lvlJc w:val="right"/>
      <w:pPr>
        <w:tabs>
          <w:tab w:val="left" w:pos="5029"/>
        </w:tabs>
        <w:ind w:left="5029" w:hanging="180"/>
      </w:pPr>
    </w:lvl>
    <w:lvl w:ilvl="6" w:tentative="0">
      <w:start w:val="1"/>
      <w:numFmt w:val="decimal"/>
      <w:lvlText w:val="%7."/>
      <w:lvlJc w:val="left"/>
      <w:pPr>
        <w:tabs>
          <w:tab w:val="left" w:pos="5749"/>
        </w:tabs>
        <w:ind w:left="5749" w:hanging="360"/>
      </w:pPr>
    </w:lvl>
    <w:lvl w:ilvl="7" w:tentative="0">
      <w:start w:val="1"/>
      <w:numFmt w:val="lowerLetter"/>
      <w:lvlText w:val="%8."/>
      <w:lvlJc w:val="left"/>
      <w:pPr>
        <w:tabs>
          <w:tab w:val="left" w:pos="6469"/>
        </w:tabs>
        <w:ind w:left="6469" w:hanging="360"/>
      </w:pPr>
    </w:lvl>
    <w:lvl w:ilvl="8" w:tentative="0">
      <w:start w:val="1"/>
      <w:numFmt w:val="lowerRoman"/>
      <w:lvlText w:val="%9."/>
      <w:lvlJc w:val="right"/>
      <w:pPr>
        <w:tabs>
          <w:tab w:val="left" w:pos="7189"/>
        </w:tabs>
        <w:ind w:left="7189" w:hanging="180"/>
      </w:pPr>
    </w:lvl>
  </w:abstractNum>
  <w:abstractNum w:abstractNumId="37">
    <w:nsid w:val="4A6C5CBF"/>
    <w:multiLevelType w:val="multilevel"/>
    <w:tmpl w:val="4A6C5CBF"/>
    <w:lvl w:ilvl="0" w:tentative="0">
      <w:start w:val="2"/>
      <w:numFmt w:val="decimal"/>
      <w:lvlText w:val="%1"/>
      <w:lvlJc w:val="left"/>
      <w:pPr>
        <w:ind w:left="375" w:hanging="375"/>
      </w:pPr>
      <w:rPr>
        <w:rFonts w:hint="default"/>
      </w:rPr>
    </w:lvl>
    <w:lvl w:ilvl="1" w:tentative="0">
      <w:start w:val="8"/>
      <w:numFmt w:val="decimal"/>
      <w:lvlText w:val="%1.%2"/>
      <w:lvlJc w:val="left"/>
      <w:pPr>
        <w:ind w:left="1796" w:hanging="720"/>
      </w:pPr>
      <w:rPr>
        <w:rFonts w:hint="default"/>
      </w:rPr>
    </w:lvl>
    <w:lvl w:ilvl="2" w:tentative="0">
      <w:start w:val="6"/>
      <w:numFmt w:val="decimal"/>
      <w:lvlText w:val="%1.%2.%3"/>
      <w:lvlJc w:val="left"/>
      <w:pPr>
        <w:ind w:left="2872" w:hanging="720"/>
      </w:pPr>
      <w:rPr>
        <w:rFonts w:hint="default"/>
      </w:rPr>
    </w:lvl>
    <w:lvl w:ilvl="3" w:tentative="0">
      <w:start w:val="1"/>
      <w:numFmt w:val="decimal"/>
      <w:lvlText w:val="%1.%2.%3.%4"/>
      <w:lvlJc w:val="left"/>
      <w:pPr>
        <w:ind w:left="4308" w:hanging="1080"/>
      </w:pPr>
      <w:rPr>
        <w:rFonts w:hint="default"/>
      </w:rPr>
    </w:lvl>
    <w:lvl w:ilvl="4" w:tentative="0">
      <w:start w:val="1"/>
      <w:numFmt w:val="decimal"/>
      <w:lvlText w:val="%1.%2.%3.%4.%5"/>
      <w:lvlJc w:val="left"/>
      <w:pPr>
        <w:ind w:left="5384" w:hanging="1080"/>
      </w:pPr>
      <w:rPr>
        <w:rFonts w:hint="default"/>
      </w:rPr>
    </w:lvl>
    <w:lvl w:ilvl="5" w:tentative="0">
      <w:start w:val="1"/>
      <w:numFmt w:val="decimal"/>
      <w:lvlText w:val="%1.%2.%3.%4.%5.%6"/>
      <w:lvlJc w:val="left"/>
      <w:pPr>
        <w:ind w:left="6820" w:hanging="1440"/>
      </w:pPr>
      <w:rPr>
        <w:rFonts w:hint="default"/>
      </w:rPr>
    </w:lvl>
    <w:lvl w:ilvl="6" w:tentative="0">
      <w:start w:val="1"/>
      <w:numFmt w:val="decimal"/>
      <w:lvlText w:val="%1.%2.%3.%4.%5.%6.%7"/>
      <w:lvlJc w:val="left"/>
      <w:pPr>
        <w:ind w:left="8256" w:hanging="1800"/>
      </w:pPr>
      <w:rPr>
        <w:rFonts w:hint="default"/>
      </w:rPr>
    </w:lvl>
    <w:lvl w:ilvl="7" w:tentative="0">
      <w:start w:val="1"/>
      <w:numFmt w:val="decimal"/>
      <w:lvlText w:val="%1.%2.%3.%4.%5.%6.%7.%8"/>
      <w:lvlJc w:val="left"/>
      <w:pPr>
        <w:ind w:left="9332" w:hanging="1800"/>
      </w:pPr>
      <w:rPr>
        <w:rFonts w:hint="default"/>
      </w:rPr>
    </w:lvl>
    <w:lvl w:ilvl="8" w:tentative="0">
      <w:start w:val="1"/>
      <w:numFmt w:val="decimal"/>
      <w:lvlText w:val="%1.%2.%3.%4.%5.%6.%7.%8.%9"/>
      <w:lvlJc w:val="left"/>
      <w:pPr>
        <w:ind w:left="10768" w:hanging="2160"/>
      </w:pPr>
      <w:rPr>
        <w:rFonts w:hint="default"/>
      </w:rPr>
    </w:lvl>
  </w:abstractNum>
  <w:abstractNum w:abstractNumId="38">
    <w:nsid w:val="4F65195B"/>
    <w:multiLevelType w:val="multilevel"/>
    <w:tmpl w:val="4F65195B"/>
    <w:lvl w:ilvl="0" w:tentative="0">
      <w:start w:val="1"/>
      <w:numFmt w:val="decimal"/>
      <w:pStyle w:val="387"/>
      <w:suff w:val="space"/>
      <w:lvlText w:val="%1)"/>
      <w:lvlJc w:val="left"/>
      <w:pPr>
        <w:ind w:left="0" w:firstLine="567"/>
      </w:pPr>
      <w:rPr>
        <w:rFonts w:hint="default"/>
      </w:rPr>
    </w:lvl>
    <w:lvl w:ilvl="1" w:tentative="0">
      <w:start w:val="1"/>
      <w:numFmt w:val="bullet"/>
      <w:suff w:val="space"/>
      <w:lvlText w:val="–"/>
      <w:lvlJc w:val="left"/>
      <w:pPr>
        <w:ind w:left="284" w:firstLine="567"/>
      </w:pPr>
      <w:rPr>
        <w:rFonts w:hint="default" w:ascii="Times New Roman" w:hAnsi="Times New Roman" w:cs="Times New Roman"/>
      </w:rPr>
    </w:lvl>
    <w:lvl w:ilvl="2" w:tentative="0">
      <w:start w:val="1"/>
      <w:numFmt w:val="bullet"/>
      <w:suff w:val="space"/>
      <w:lvlText w:val=""/>
      <w:lvlJc w:val="left"/>
      <w:pPr>
        <w:ind w:left="284" w:firstLine="567"/>
      </w:pPr>
      <w:rPr>
        <w:rFonts w:hint="default" w:ascii="Symbol" w:hAnsi="Symbol"/>
      </w:rPr>
    </w:lvl>
    <w:lvl w:ilvl="3" w:tentative="0">
      <w:start w:val="1"/>
      <w:numFmt w:val="bullet"/>
      <w:suff w:val="space"/>
      <w:lvlText w:val="–"/>
      <w:lvlJc w:val="left"/>
      <w:pPr>
        <w:ind w:left="284" w:firstLine="567"/>
      </w:pPr>
      <w:rPr>
        <w:rFonts w:hint="default" w:ascii="Times New Roman" w:hAnsi="Times New Roman" w:cs="Times New Roman"/>
      </w:rPr>
    </w:lvl>
    <w:lvl w:ilvl="4" w:tentative="0">
      <w:start w:val="1"/>
      <w:numFmt w:val="bullet"/>
      <w:suff w:val="space"/>
      <w:lvlText w:val="–"/>
      <w:lvlJc w:val="left"/>
      <w:pPr>
        <w:ind w:left="284" w:firstLine="567"/>
      </w:pPr>
      <w:rPr>
        <w:rFonts w:hint="default" w:ascii="Times New Roman" w:hAnsi="Times New Roman" w:cs="Times New Roman"/>
      </w:rPr>
    </w:lvl>
    <w:lvl w:ilvl="5" w:tentative="0">
      <w:start w:val="1"/>
      <w:numFmt w:val="bullet"/>
      <w:suff w:val="space"/>
      <w:lvlText w:val="–"/>
      <w:lvlJc w:val="left"/>
      <w:pPr>
        <w:ind w:left="284" w:firstLine="567"/>
      </w:pPr>
      <w:rPr>
        <w:rFonts w:hint="default" w:ascii="Times New Roman" w:hAnsi="Times New Roman" w:cs="Times New Roman"/>
      </w:rPr>
    </w:lvl>
    <w:lvl w:ilvl="6" w:tentative="0">
      <w:start w:val="1"/>
      <w:numFmt w:val="bullet"/>
      <w:suff w:val="space"/>
      <w:lvlText w:val=""/>
      <w:lvlJc w:val="left"/>
      <w:pPr>
        <w:ind w:left="284" w:firstLine="567"/>
      </w:pPr>
      <w:rPr>
        <w:rFonts w:hint="default" w:ascii="Symbol" w:hAnsi="Symbol"/>
      </w:rPr>
    </w:lvl>
    <w:lvl w:ilvl="7" w:tentative="0">
      <w:start w:val="1"/>
      <w:numFmt w:val="bullet"/>
      <w:suff w:val="space"/>
      <w:lvlText w:val="–"/>
      <w:lvlJc w:val="left"/>
      <w:pPr>
        <w:ind w:left="284" w:firstLine="567"/>
      </w:pPr>
      <w:rPr>
        <w:rFonts w:hint="default" w:ascii="Times New Roman" w:hAnsi="Times New Roman" w:cs="Times New Roman"/>
      </w:rPr>
    </w:lvl>
    <w:lvl w:ilvl="8" w:tentative="0">
      <w:start w:val="1"/>
      <w:numFmt w:val="bullet"/>
      <w:suff w:val="space"/>
      <w:lvlText w:val=""/>
      <w:lvlJc w:val="left"/>
      <w:pPr>
        <w:ind w:left="284" w:firstLine="567"/>
      </w:pPr>
      <w:rPr>
        <w:rFonts w:hint="default" w:ascii="Symbol" w:hAnsi="Symbol"/>
      </w:rPr>
    </w:lvl>
  </w:abstractNum>
  <w:abstractNum w:abstractNumId="39">
    <w:nsid w:val="55D46F0E"/>
    <w:multiLevelType w:val="multilevel"/>
    <w:tmpl w:val="55D46F0E"/>
    <w:lvl w:ilvl="0" w:tentative="0">
      <w:start w:val="5"/>
      <w:numFmt w:val="bullet"/>
      <w:pStyle w:val="653"/>
      <w:lvlText w:val=""/>
      <w:lvlJc w:val="left"/>
      <w:pPr>
        <w:tabs>
          <w:tab w:val="left" w:pos="1304"/>
        </w:tabs>
        <w:ind w:left="1304" w:hanging="453"/>
      </w:pPr>
      <w:rPr>
        <w:rFonts w:hint="default" w:ascii="Symbol" w:hAnsi="Symbol"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0">
    <w:nsid w:val="56A95D46"/>
    <w:multiLevelType w:val="multilevel"/>
    <w:tmpl w:val="56A95D46"/>
    <w:lvl w:ilvl="0" w:tentative="0">
      <w:start w:val="2"/>
      <w:numFmt w:val="decimal"/>
      <w:lvlText w:val="%1"/>
      <w:lvlJc w:val="left"/>
      <w:pPr>
        <w:ind w:left="375" w:hanging="375"/>
      </w:pPr>
      <w:rPr>
        <w:rFonts w:hint="default"/>
      </w:rPr>
    </w:lvl>
    <w:lvl w:ilvl="1" w:tentative="0">
      <w:start w:val="8"/>
      <w:numFmt w:val="decimal"/>
      <w:lvlText w:val="%1.%2"/>
      <w:lvlJc w:val="left"/>
      <w:pPr>
        <w:ind w:left="1796" w:hanging="720"/>
      </w:pPr>
      <w:rPr>
        <w:rFonts w:hint="default"/>
      </w:rPr>
    </w:lvl>
    <w:lvl w:ilvl="2" w:tentative="0">
      <w:start w:val="1"/>
      <w:numFmt w:val="decimal"/>
      <w:lvlText w:val="%1.%2.%3"/>
      <w:lvlJc w:val="left"/>
      <w:pPr>
        <w:ind w:left="5966" w:hanging="720"/>
      </w:pPr>
      <w:rPr>
        <w:rFonts w:hint="default"/>
      </w:rPr>
    </w:lvl>
    <w:lvl w:ilvl="3" w:tentative="0">
      <w:start w:val="1"/>
      <w:numFmt w:val="decimal"/>
      <w:lvlText w:val="%1.%2.%3.%4"/>
      <w:lvlJc w:val="left"/>
      <w:pPr>
        <w:ind w:left="4308" w:hanging="1080"/>
      </w:pPr>
      <w:rPr>
        <w:rFonts w:hint="default"/>
      </w:rPr>
    </w:lvl>
    <w:lvl w:ilvl="4" w:tentative="0">
      <w:start w:val="1"/>
      <w:numFmt w:val="decimal"/>
      <w:lvlText w:val="%1.%2.%3.%4.%5"/>
      <w:lvlJc w:val="left"/>
      <w:pPr>
        <w:ind w:left="5384" w:hanging="1080"/>
      </w:pPr>
      <w:rPr>
        <w:rFonts w:hint="default"/>
      </w:rPr>
    </w:lvl>
    <w:lvl w:ilvl="5" w:tentative="0">
      <w:start w:val="1"/>
      <w:numFmt w:val="decimal"/>
      <w:lvlText w:val="%1.%2.%3.%4.%5.%6"/>
      <w:lvlJc w:val="left"/>
      <w:pPr>
        <w:ind w:left="6820" w:hanging="1440"/>
      </w:pPr>
      <w:rPr>
        <w:rFonts w:hint="default"/>
      </w:rPr>
    </w:lvl>
    <w:lvl w:ilvl="6" w:tentative="0">
      <w:start w:val="1"/>
      <w:numFmt w:val="decimal"/>
      <w:lvlText w:val="%1.%2.%3.%4.%5.%6.%7"/>
      <w:lvlJc w:val="left"/>
      <w:pPr>
        <w:ind w:left="8256" w:hanging="1800"/>
      </w:pPr>
      <w:rPr>
        <w:rFonts w:hint="default"/>
      </w:rPr>
    </w:lvl>
    <w:lvl w:ilvl="7" w:tentative="0">
      <w:start w:val="1"/>
      <w:numFmt w:val="decimal"/>
      <w:lvlText w:val="%1.%2.%3.%4.%5.%6.%7.%8"/>
      <w:lvlJc w:val="left"/>
      <w:pPr>
        <w:ind w:left="9332" w:hanging="1800"/>
      </w:pPr>
      <w:rPr>
        <w:rFonts w:hint="default"/>
      </w:rPr>
    </w:lvl>
    <w:lvl w:ilvl="8" w:tentative="0">
      <w:start w:val="1"/>
      <w:numFmt w:val="decimal"/>
      <w:lvlText w:val="%1.%2.%3.%4.%5.%6.%7.%8.%9"/>
      <w:lvlJc w:val="left"/>
      <w:pPr>
        <w:ind w:left="10768" w:hanging="2160"/>
      </w:pPr>
      <w:rPr>
        <w:rFonts w:hint="default"/>
      </w:rPr>
    </w:lvl>
  </w:abstractNum>
  <w:abstractNum w:abstractNumId="41">
    <w:nsid w:val="5805760A"/>
    <w:multiLevelType w:val="multilevel"/>
    <w:tmpl w:val="5805760A"/>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2">
    <w:nsid w:val="584C1824"/>
    <w:multiLevelType w:val="multilevel"/>
    <w:tmpl w:val="584C1824"/>
    <w:lvl w:ilvl="0" w:tentative="0">
      <w:start w:val="1"/>
      <w:numFmt w:val="bullet"/>
      <w:pStyle w:val="784"/>
      <w:lvlText w:val=""/>
      <w:lvlJc w:val="left"/>
      <w:pPr>
        <w:tabs>
          <w:tab w:val="left" w:pos="1427"/>
        </w:tabs>
        <w:ind w:left="180" w:firstLine="720"/>
      </w:pPr>
      <w:rPr>
        <w:rFonts w:hint="default" w:ascii="Symbol" w:hAnsi="Symbol"/>
        <w:color w:val="auto"/>
      </w:rPr>
    </w:lvl>
    <w:lvl w:ilvl="1" w:tentative="0">
      <w:start w:val="4"/>
      <w:numFmt w:val="decimal"/>
      <w:lvlText w:val="%2."/>
      <w:lvlJc w:val="left"/>
      <w:pPr>
        <w:tabs>
          <w:tab w:val="left" w:pos="2160"/>
        </w:tabs>
        <w:ind w:left="2160" w:hanging="360"/>
      </w:pPr>
      <w:rPr>
        <w:rFonts w:hint="default"/>
      </w:r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43">
    <w:nsid w:val="58EB6BD0"/>
    <w:multiLevelType w:val="multilevel"/>
    <w:tmpl w:val="58EB6BD0"/>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44">
    <w:nsid w:val="5A1C359B"/>
    <w:multiLevelType w:val="multilevel"/>
    <w:tmpl w:val="5A1C359B"/>
    <w:lvl w:ilvl="0" w:tentative="0">
      <w:start w:val="1"/>
      <w:numFmt w:val="decimal"/>
      <w:lvlText w:val="%1."/>
      <w:lvlJc w:val="left"/>
      <w:pPr>
        <w:ind w:left="1571" w:hanging="360"/>
      </w:pPr>
      <w:rPr>
        <w:rFonts w:hint="default"/>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45">
    <w:nsid w:val="5DEA1185"/>
    <w:multiLevelType w:val="multilevel"/>
    <w:tmpl w:val="5DEA1185"/>
    <w:lvl w:ilvl="0" w:tentative="0">
      <w:start w:val="1"/>
      <w:numFmt w:val="decimal"/>
      <w:pStyle w:val="742"/>
      <w:lvlText w:val="%1."/>
      <w:lvlJc w:val="left"/>
      <w:pPr>
        <w:ind w:left="1443" w:hanging="450"/>
      </w:pPr>
      <w:rPr>
        <w:rFonts w:hint="default"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1" w:tentative="0">
      <w:start w:val="1"/>
      <w:numFmt w:val="decimal"/>
      <w:pStyle w:val="743"/>
      <w:lvlText w:val="%1.%2."/>
      <w:lvlJc w:val="left"/>
      <w:pPr>
        <w:ind w:left="2433" w:hanging="720"/>
      </w:pPr>
      <w:rPr>
        <w:rFonts w:hint="default"/>
      </w:rPr>
    </w:lvl>
    <w:lvl w:ilvl="2" w:tentative="0">
      <w:start w:val="1"/>
      <w:numFmt w:val="decimal"/>
      <w:pStyle w:val="744"/>
      <w:lvlText w:val="%1.%2.%3."/>
      <w:lvlJc w:val="left"/>
      <w:pPr>
        <w:ind w:left="3153" w:hanging="720"/>
      </w:pPr>
      <w:rPr>
        <w:rFonts w:hint="default"/>
      </w:rPr>
    </w:lvl>
    <w:lvl w:ilvl="3" w:tentative="0">
      <w:start w:val="1"/>
      <w:numFmt w:val="decimal"/>
      <w:lvlText w:val="%1.%2.%3.%4."/>
      <w:lvlJc w:val="left"/>
      <w:pPr>
        <w:ind w:left="4233" w:hanging="1080"/>
      </w:pPr>
      <w:rPr>
        <w:rFonts w:hint="default"/>
      </w:rPr>
    </w:lvl>
    <w:lvl w:ilvl="4" w:tentative="0">
      <w:start w:val="1"/>
      <w:numFmt w:val="decimal"/>
      <w:lvlText w:val="%1.%2.%3.%4.%5."/>
      <w:lvlJc w:val="left"/>
      <w:pPr>
        <w:ind w:left="4953" w:hanging="1080"/>
      </w:pPr>
      <w:rPr>
        <w:rFonts w:hint="default"/>
      </w:rPr>
    </w:lvl>
    <w:lvl w:ilvl="5" w:tentative="0">
      <w:start w:val="1"/>
      <w:numFmt w:val="decimal"/>
      <w:lvlText w:val="%1.%2.%3.%4.%5.%6."/>
      <w:lvlJc w:val="left"/>
      <w:pPr>
        <w:ind w:left="6033" w:hanging="1440"/>
      </w:pPr>
      <w:rPr>
        <w:rFonts w:hint="default"/>
      </w:rPr>
    </w:lvl>
    <w:lvl w:ilvl="6" w:tentative="0">
      <w:start w:val="1"/>
      <w:numFmt w:val="decimal"/>
      <w:lvlText w:val="%1.%2.%3.%4.%5.%6.%7."/>
      <w:lvlJc w:val="left"/>
      <w:pPr>
        <w:ind w:left="7113" w:hanging="1800"/>
      </w:pPr>
      <w:rPr>
        <w:rFonts w:hint="default"/>
      </w:rPr>
    </w:lvl>
    <w:lvl w:ilvl="7" w:tentative="0">
      <w:start w:val="1"/>
      <w:numFmt w:val="decimal"/>
      <w:lvlText w:val="%1.%2.%3.%4.%5.%6.%7.%8."/>
      <w:lvlJc w:val="left"/>
      <w:pPr>
        <w:ind w:left="7833" w:hanging="1800"/>
      </w:pPr>
      <w:rPr>
        <w:rFonts w:hint="default"/>
      </w:rPr>
    </w:lvl>
    <w:lvl w:ilvl="8" w:tentative="0">
      <w:start w:val="1"/>
      <w:numFmt w:val="decimal"/>
      <w:lvlText w:val="%1.%2.%3.%4.%5.%6.%7.%8.%9."/>
      <w:lvlJc w:val="left"/>
      <w:pPr>
        <w:ind w:left="8913" w:hanging="2160"/>
      </w:pPr>
      <w:rPr>
        <w:rFonts w:hint="default"/>
      </w:rPr>
    </w:lvl>
  </w:abstractNum>
  <w:abstractNum w:abstractNumId="46">
    <w:nsid w:val="5E675C54"/>
    <w:multiLevelType w:val="multilevel"/>
    <w:tmpl w:val="5E675C54"/>
    <w:lvl w:ilvl="0" w:tentative="0">
      <w:start w:val="2"/>
      <w:numFmt w:val="decimal"/>
      <w:lvlText w:val="%1"/>
      <w:lvlJc w:val="left"/>
      <w:pPr>
        <w:ind w:left="375" w:hanging="375"/>
      </w:pPr>
      <w:rPr>
        <w:rFonts w:hint="default"/>
      </w:rPr>
    </w:lvl>
    <w:lvl w:ilvl="1" w:tentative="0">
      <w:start w:val="3"/>
      <w:numFmt w:val="decimal"/>
      <w:lvlText w:val="%1.%2"/>
      <w:lvlJc w:val="left"/>
      <w:pPr>
        <w:ind w:left="1440" w:hanging="72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47">
    <w:nsid w:val="61874617"/>
    <w:multiLevelType w:val="multilevel"/>
    <w:tmpl w:val="61874617"/>
    <w:lvl w:ilvl="0" w:tentative="0">
      <w:start w:val="1"/>
      <w:numFmt w:val="decimal"/>
      <w:lvlText w:val="%1."/>
      <w:lvlJc w:val="left"/>
      <w:pPr>
        <w:ind w:left="360" w:hanging="360"/>
      </w:pPr>
      <w:rPr>
        <w:rFonts w:hint="default"/>
      </w:rPr>
    </w:lvl>
    <w:lvl w:ilvl="1" w:tentative="0">
      <w:start w:val="1"/>
      <w:numFmt w:val="decimal"/>
      <w:lvlText w:val="%2."/>
      <w:lvlJc w:val="left"/>
      <w:pPr>
        <w:ind w:left="792" w:hanging="432"/>
      </w:pPr>
      <w:rPr>
        <w:rFonts w:hint="default"/>
      </w:rPr>
    </w:lvl>
    <w:lvl w:ilvl="2" w:tentative="0">
      <w:start w:val="1"/>
      <w:numFmt w:val="decimal"/>
      <w:lvlText w:val="%2.%3."/>
      <w:lvlJc w:val="left"/>
      <w:pPr>
        <w:ind w:left="1224" w:hanging="504"/>
      </w:pPr>
      <w:rPr>
        <w:rFonts w:hint="default"/>
      </w:rPr>
    </w:lvl>
    <w:lvl w:ilvl="3" w:tentative="0">
      <w:start w:val="1"/>
      <w:numFmt w:val="decimal"/>
      <w:lvlText w:val="%2.%3.%4."/>
      <w:lvlJc w:val="left"/>
      <w:pPr>
        <w:ind w:left="1728" w:hanging="648"/>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8">
    <w:nsid w:val="63F32115"/>
    <w:multiLevelType w:val="multilevel"/>
    <w:tmpl w:val="63F32115"/>
    <w:lvl w:ilvl="0" w:tentative="0">
      <w:start w:val="1"/>
      <w:numFmt w:val="none"/>
      <w:lvlText w:val=""/>
      <w:lvlJc w:val="left"/>
      <w:pPr>
        <w:ind w:left="360" w:hanging="360"/>
      </w:pPr>
      <w:rPr>
        <w:rFonts w:hint="default"/>
      </w:rPr>
    </w:lvl>
    <w:lvl w:ilvl="1" w:tentative="0">
      <w:start w:val="1"/>
      <w:numFmt w:val="decimal"/>
      <w:lvlText w:val="%2."/>
      <w:lvlJc w:val="left"/>
      <w:pPr>
        <w:ind w:left="851" w:hanging="491"/>
      </w:pPr>
      <w:rPr>
        <w:rFonts w:hint="default"/>
      </w:rPr>
    </w:lvl>
    <w:lvl w:ilvl="2" w:tentative="0">
      <w:start w:val="1"/>
      <w:numFmt w:val="decimal"/>
      <w:suff w:val="space"/>
      <w:lvlText w:val="%2.%3 "/>
      <w:lvlJc w:val="left"/>
      <w:pPr>
        <w:ind w:left="1224" w:hanging="504"/>
      </w:pPr>
      <w:rPr>
        <w:rFonts w:hint="default"/>
      </w:rPr>
    </w:lvl>
    <w:lvl w:ilvl="3" w:tentative="0">
      <w:start w:val="1"/>
      <w:numFmt w:val="decimal"/>
      <w:suff w:val="space"/>
      <w:lvlText w:val="%2.%3.%4"/>
      <w:lvlJc w:val="left"/>
      <w:pPr>
        <w:ind w:left="1728" w:hanging="651"/>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9">
    <w:nsid w:val="64236764"/>
    <w:multiLevelType w:val="multilevel"/>
    <w:tmpl w:val="64236764"/>
    <w:lvl w:ilvl="0" w:tentative="0">
      <w:start w:val="2"/>
      <w:numFmt w:val="decimal"/>
      <w:lvlText w:val="%1"/>
      <w:lvlJc w:val="left"/>
      <w:pPr>
        <w:ind w:left="375" w:hanging="375"/>
      </w:pPr>
      <w:rPr>
        <w:rFonts w:hint="default"/>
      </w:rPr>
    </w:lvl>
    <w:lvl w:ilvl="1" w:tentative="0">
      <w:start w:val="7"/>
      <w:numFmt w:val="decimal"/>
      <w:lvlText w:val="%1.%2"/>
      <w:lvlJc w:val="left"/>
      <w:pPr>
        <w:ind w:left="2160" w:hanging="720"/>
      </w:pPr>
      <w:rPr>
        <w:rFonts w:hint="default"/>
      </w:rPr>
    </w:lvl>
    <w:lvl w:ilvl="2" w:tentative="0">
      <w:start w:val="1"/>
      <w:numFmt w:val="decimal"/>
      <w:lvlText w:val="%1.%2.%3"/>
      <w:lvlJc w:val="left"/>
      <w:pPr>
        <w:ind w:left="3600" w:hanging="720"/>
      </w:pPr>
      <w:rPr>
        <w:rFonts w:hint="default"/>
      </w:rPr>
    </w:lvl>
    <w:lvl w:ilvl="3" w:tentative="0">
      <w:start w:val="1"/>
      <w:numFmt w:val="decimal"/>
      <w:lvlText w:val="%1.%2.%3.%4"/>
      <w:lvlJc w:val="left"/>
      <w:pPr>
        <w:ind w:left="5400" w:hanging="1080"/>
      </w:pPr>
      <w:rPr>
        <w:rFonts w:hint="default"/>
      </w:rPr>
    </w:lvl>
    <w:lvl w:ilvl="4" w:tentative="0">
      <w:start w:val="1"/>
      <w:numFmt w:val="decimal"/>
      <w:lvlText w:val="%1.%2.%3.%4.%5"/>
      <w:lvlJc w:val="left"/>
      <w:pPr>
        <w:ind w:left="6840" w:hanging="1080"/>
      </w:pPr>
      <w:rPr>
        <w:rFonts w:hint="default"/>
      </w:rPr>
    </w:lvl>
    <w:lvl w:ilvl="5" w:tentative="0">
      <w:start w:val="1"/>
      <w:numFmt w:val="decimal"/>
      <w:lvlText w:val="%1.%2.%3.%4.%5.%6"/>
      <w:lvlJc w:val="left"/>
      <w:pPr>
        <w:ind w:left="8640" w:hanging="1440"/>
      </w:pPr>
      <w:rPr>
        <w:rFonts w:hint="default"/>
      </w:rPr>
    </w:lvl>
    <w:lvl w:ilvl="6" w:tentative="0">
      <w:start w:val="1"/>
      <w:numFmt w:val="decimal"/>
      <w:lvlText w:val="%1.%2.%3.%4.%5.%6.%7"/>
      <w:lvlJc w:val="left"/>
      <w:pPr>
        <w:ind w:left="10440" w:hanging="1800"/>
      </w:pPr>
      <w:rPr>
        <w:rFonts w:hint="default"/>
      </w:rPr>
    </w:lvl>
    <w:lvl w:ilvl="7" w:tentative="0">
      <w:start w:val="1"/>
      <w:numFmt w:val="decimal"/>
      <w:lvlText w:val="%1.%2.%3.%4.%5.%6.%7.%8"/>
      <w:lvlJc w:val="left"/>
      <w:pPr>
        <w:ind w:left="11880" w:hanging="1800"/>
      </w:pPr>
      <w:rPr>
        <w:rFonts w:hint="default"/>
      </w:rPr>
    </w:lvl>
    <w:lvl w:ilvl="8" w:tentative="0">
      <w:start w:val="1"/>
      <w:numFmt w:val="decimal"/>
      <w:lvlText w:val="%1.%2.%3.%4.%5.%6.%7.%8.%9"/>
      <w:lvlJc w:val="left"/>
      <w:pPr>
        <w:ind w:left="13680" w:hanging="2160"/>
      </w:pPr>
      <w:rPr>
        <w:rFonts w:hint="default"/>
      </w:rPr>
    </w:lvl>
  </w:abstractNum>
  <w:abstractNum w:abstractNumId="50">
    <w:nsid w:val="67241421"/>
    <w:multiLevelType w:val="multilevel"/>
    <w:tmpl w:val="67241421"/>
    <w:lvl w:ilvl="0" w:tentative="0">
      <w:start w:val="1"/>
      <w:numFmt w:val="bullet"/>
      <w:pStyle w:val="452"/>
      <w:lvlText w:val="­"/>
      <w:lvlJc w:val="left"/>
      <w:pPr>
        <w:ind w:left="1321" w:hanging="360"/>
      </w:pPr>
      <w:rPr>
        <w:rFonts w:hint="default" w:ascii="Courier New" w:hAnsi="Courier New" w:cs="Times New Roman"/>
      </w:rPr>
    </w:lvl>
    <w:lvl w:ilvl="1" w:tentative="0">
      <w:start w:val="1"/>
      <w:numFmt w:val="bullet"/>
      <w:lvlText w:val="o"/>
      <w:lvlJc w:val="left"/>
      <w:pPr>
        <w:ind w:left="2041" w:hanging="360"/>
      </w:pPr>
      <w:rPr>
        <w:rFonts w:hint="default" w:ascii="Courier New" w:hAnsi="Courier New" w:cs="Times New Roman"/>
      </w:rPr>
    </w:lvl>
    <w:lvl w:ilvl="2" w:tentative="0">
      <w:start w:val="1"/>
      <w:numFmt w:val="bullet"/>
      <w:lvlText w:val=""/>
      <w:lvlJc w:val="left"/>
      <w:pPr>
        <w:ind w:left="2761" w:hanging="360"/>
      </w:pPr>
      <w:rPr>
        <w:rFonts w:hint="default" w:ascii="Wingdings" w:hAnsi="Wingdings"/>
      </w:rPr>
    </w:lvl>
    <w:lvl w:ilvl="3" w:tentative="0">
      <w:start w:val="1"/>
      <w:numFmt w:val="bullet"/>
      <w:lvlText w:val=""/>
      <w:lvlJc w:val="left"/>
      <w:pPr>
        <w:ind w:left="3481" w:hanging="360"/>
      </w:pPr>
      <w:rPr>
        <w:rFonts w:hint="default" w:ascii="Symbol" w:hAnsi="Symbol"/>
      </w:rPr>
    </w:lvl>
    <w:lvl w:ilvl="4" w:tentative="0">
      <w:start w:val="1"/>
      <w:numFmt w:val="bullet"/>
      <w:lvlText w:val="o"/>
      <w:lvlJc w:val="left"/>
      <w:pPr>
        <w:ind w:left="4201" w:hanging="360"/>
      </w:pPr>
      <w:rPr>
        <w:rFonts w:hint="default" w:ascii="Courier New" w:hAnsi="Courier New" w:cs="Times New Roman"/>
      </w:rPr>
    </w:lvl>
    <w:lvl w:ilvl="5" w:tentative="0">
      <w:start w:val="1"/>
      <w:numFmt w:val="bullet"/>
      <w:lvlText w:val=""/>
      <w:lvlJc w:val="left"/>
      <w:pPr>
        <w:ind w:left="4921" w:hanging="360"/>
      </w:pPr>
      <w:rPr>
        <w:rFonts w:hint="default" w:ascii="Wingdings" w:hAnsi="Wingdings"/>
      </w:rPr>
    </w:lvl>
    <w:lvl w:ilvl="6" w:tentative="0">
      <w:start w:val="1"/>
      <w:numFmt w:val="bullet"/>
      <w:lvlText w:val=""/>
      <w:lvlJc w:val="left"/>
      <w:pPr>
        <w:ind w:left="5641" w:hanging="360"/>
      </w:pPr>
      <w:rPr>
        <w:rFonts w:hint="default" w:ascii="Symbol" w:hAnsi="Symbol"/>
      </w:rPr>
    </w:lvl>
    <w:lvl w:ilvl="7" w:tentative="0">
      <w:start w:val="1"/>
      <w:numFmt w:val="bullet"/>
      <w:lvlText w:val="o"/>
      <w:lvlJc w:val="left"/>
      <w:pPr>
        <w:ind w:left="6361" w:hanging="360"/>
      </w:pPr>
      <w:rPr>
        <w:rFonts w:hint="default" w:ascii="Courier New" w:hAnsi="Courier New" w:cs="Times New Roman"/>
      </w:rPr>
    </w:lvl>
    <w:lvl w:ilvl="8" w:tentative="0">
      <w:start w:val="1"/>
      <w:numFmt w:val="bullet"/>
      <w:lvlText w:val=""/>
      <w:lvlJc w:val="left"/>
      <w:pPr>
        <w:ind w:left="7081" w:hanging="360"/>
      </w:pPr>
      <w:rPr>
        <w:rFonts w:hint="default" w:ascii="Wingdings" w:hAnsi="Wingdings"/>
      </w:rPr>
    </w:lvl>
  </w:abstractNum>
  <w:abstractNum w:abstractNumId="51">
    <w:nsid w:val="69A65679"/>
    <w:multiLevelType w:val="multilevel"/>
    <w:tmpl w:val="69A65679"/>
    <w:lvl w:ilvl="0" w:tentative="0">
      <w:start w:val="1"/>
      <w:numFmt w:val="bullet"/>
      <w:lvlText w:val=""/>
      <w:lvlJc w:val="left"/>
      <w:pPr>
        <w:ind w:left="1778" w:hanging="360"/>
      </w:pPr>
      <w:rPr>
        <w:rFonts w:hint="default" w:ascii="Symbol" w:hAnsi="Symbol"/>
        <w:color w:val="auto"/>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52">
    <w:nsid w:val="6B7246C5"/>
    <w:multiLevelType w:val="multilevel"/>
    <w:tmpl w:val="6B7246C5"/>
    <w:lvl w:ilvl="0" w:tentative="0">
      <w:start w:val="2"/>
      <w:numFmt w:val="decimal"/>
      <w:lvlText w:val="%1"/>
      <w:lvlJc w:val="left"/>
      <w:pPr>
        <w:ind w:left="375" w:hanging="375"/>
      </w:pPr>
      <w:rPr>
        <w:rFonts w:hint="default"/>
      </w:rPr>
    </w:lvl>
    <w:lvl w:ilvl="1" w:tentative="0">
      <w:start w:val="9"/>
      <w:numFmt w:val="decimal"/>
      <w:lvlText w:val="%1.%2"/>
      <w:lvlJc w:val="left"/>
      <w:pPr>
        <w:ind w:left="3603" w:hanging="375"/>
      </w:pPr>
      <w:rPr>
        <w:rFonts w:hint="default"/>
      </w:rPr>
    </w:lvl>
    <w:lvl w:ilvl="2" w:tentative="0">
      <w:start w:val="1"/>
      <w:numFmt w:val="decimal"/>
      <w:lvlText w:val="%1.%2.%3"/>
      <w:lvlJc w:val="left"/>
      <w:pPr>
        <w:ind w:left="7176" w:hanging="720"/>
      </w:pPr>
      <w:rPr>
        <w:rFonts w:hint="default"/>
      </w:rPr>
    </w:lvl>
    <w:lvl w:ilvl="3" w:tentative="0">
      <w:start w:val="1"/>
      <w:numFmt w:val="decimal"/>
      <w:lvlText w:val="%1.%2.%3.%4"/>
      <w:lvlJc w:val="left"/>
      <w:pPr>
        <w:ind w:left="10764" w:hanging="1080"/>
      </w:pPr>
      <w:rPr>
        <w:rFonts w:hint="default"/>
      </w:rPr>
    </w:lvl>
    <w:lvl w:ilvl="4" w:tentative="0">
      <w:start w:val="1"/>
      <w:numFmt w:val="decimal"/>
      <w:lvlText w:val="%1.%2.%3.%4.%5"/>
      <w:lvlJc w:val="left"/>
      <w:pPr>
        <w:ind w:left="13992" w:hanging="1080"/>
      </w:pPr>
      <w:rPr>
        <w:rFonts w:hint="default"/>
      </w:rPr>
    </w:lvl>
    <w:lvl w:ilvl="5" w:tentative="0">
      <w:start w:val="1"/>
      <w:numFmt w:val="decimal"/>
      <w:lvlText w:val="%1.%2.%3.%4.%5.%6"/>
      <w:lvlJc w:val="left"/>
      <w:pPr>
        <w:ind w:left="17580" w:hanging="1440"/>
      </w:pPr>
      <w:rPr>
        <w:rFonts w:hint="default"/>
      </w:rPr>
    </w:lvl>
    <w:lvl w:ilvl="6" w:tentative="0">
      <w:start w:val="1"/>
      <w:numFmt w:val="decimal"/>
      <w:lvlText w:val="%1.%2.%3.%4.%5.%6.%7"/>
      <w:lvlJc w:val="left"/>
      <w:pPr>
        <w:ind w:left="20808" w:hanging="1440"/>
      </w:pPr>
      <w:rPr>
        <w:rFonts w:hint="default"/>
      </w:rPr>
    </w:lvl>
    <w:lvl w:ilvl="7" w:tentative="0">
      <w:start w:val="1"/>
      <w:numFmt w:val="decimal"/>
      <w:lvlText w:val="%1.%2.%3.%4.%5.%6.%7.%8"/>
      <w:lvlJc w:val="left"/>
      <w:pPr>
        <w:ind w:left="24396" w:hanging="1800"/>
      </w:pPr>
      <w:rPr>
        <w:rFonts w:hint="default"/>
      </w:rPr>
    </w:lvl>
    <w:lvl w:ilvl="8" w:tentative="0">
      <w:start w:val="1"/>
      <w:numFmt w:val="decimal"/>
      <w:lvlText w:val="%1.%2.%3.%4.%5.%6.%7.%8.%9"/>
      <w:lvlJc w:val="left"/>
      <w:pPr>
        <w:ind w:left="27984" w:hanging="2160"/>
      </w:pPr>
      <w:rPr>
        <w:rFonts w:hint="default"/>
      </w:rPr>
    </w:lvl>
  </w:abstractNum>
  <w:abstractNum w:abstractNumId="53">
    <w:nsid w:val="70CC008F"/>
    <w:multiLevelType w:val="multilevel"/>
    <w:tmpl w:val="70CC008F"/>
    <w:lvl w:ilvl="0" w:tentative="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tentative="0">
      <w:start w:val="1"/>
      <w:numFmt w:val="decimal"/>
      <w:pStyle w:val="390"/>
      <w:suff w:val="space"/>
      <w:lvlText w:val="%1.%2"/>
      <w:lvlJc w:val="left"/>
      <w:pPr>
        <w:ind w:left="851" w:firstLine="0"/>
      </w:pPr>
      <w:rPr>
        <w:rFonts w:hint="default" w:ascii="Times New Roman" w:hAnsi="Times New Roman"/>
        <w:b/>
        <w:i w:val="0"/>
        <w:sz w:val="24"/>
        <w:szCs w:val="24"/>
      </w:rPr>
    </w:lvl>
    <w:lvl w:ilvl="2" w:tentative="0">
      <w:start w:val="1"/>
      <w:numFmt w:val="decimal"/>
      <w:suff w:val="space"/>
      <w:lvlText w:val="%1.%2.%3"/>
      <w:lvlJc w:val="left"/>
      <w:pPr>
        <w:ind w:left="567" w:firstLine="0"/>
      </w:pPr>
      <w:rPr>
        <w:rFonts w:hint="default" w:ascii="Times New Roman" w:hAnsi="Times New Roman"/>
        <w:b/>
        <w:i w:val="0"/>
        <w:sz w:val="24"/>
        <w:szCs w:val="24"/>
      </w:rPr>
    </w:lvl>
    <w:lvl w:ilvl="3" w:tentative="0">
      <w:start w:val="1"/>
      <w:numFmt w:val="decimal"/>
      <w:lvlText w:val="%1.%2.%3.%4"/>
      <w:lvlJc w:val="left"/>
      <w:pPr>
        <w:tabs>
          <w:tab w:val="left" w:pos="141"/>
        </w:tabs>
        <w:ind w:left="141" w:firstLine="0"/>
      </w:pPr>
      <w:rPr>
        <w:rFonts w:hint="default"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4" w:tentative="0">
      <w:start w:val="1"/>
      <w:numFmt w:val="decimal"/>
      <w:lvlText w:val="%1.%2.%3.%4.%5"/>
      <w:lvlJc w:val="left"/>
      <w:pPr>
        <w:tabs>
          <w:tab w:val="left" w:pos="141"/>
        </w:tabs>
        <w:ind w:left="141" w:firstLine="0"/>
      </w:pPr>
      <w:rPr>
        <w:rFonts w:hint="default"/>
      </w:rPr>
    </w:lvl>
    <w:lvl w:ilvl="5" w:tentative="0">
      <w:start w:val="1"/>
      <w:numFmt w:val="decimal"/>
      <w:lvlText w:val="%1.%2.%3.%4.%5.%6"/>
      <w:lvlJc w:val="left"/>
      <w:pPr>
        <w:tabs>
          <w:tab w:val="left" w:pos="141"/>
        </w:tabs>
        <w:ind w:left="141" w:firstLine="0"/>
      </w:pPr>
      <w:rPr>
        <w:rFonts w:hint="default"/>
      </w:rPr>
    </w:lvl>
    <w:lvl w:ilvl="6" w:tentative="0">
      <w:start w:val="1"/>
      <w:numFmt w:val="decimal"/>
      <w:lvlText w:val="%1.%2.%3.%4.%5.%6.%7"/>
      <w:lvlJc w:val="left"/>
      <w:pPr>
        <w:tabs>
          <w:tab w:val="left" w:pos="141"/>
        </w:tabs>
        <w:ind w:left="141" w:firstLine="0"/>
      </w:pPr>
      <w:rPr>
        <w:rFonts w:hint="default"/>
      </w:rPr>
    </w:lvl>
    <w:lvl w:ilvl="7" w:tentative="0">
      <w:start w:val="1"/>
      <w:numFmt w:val="decimal"/>
      <w:lvlText w:val="%1.%2.%3.%4.%5.%6.%7.%8"/>
      <w:lvlJc w:val="left"/>
      <w:pPr>
        <w:tabs>
          <w:tab w:val="left" w:pos="141"/>
        </w:tabs>
        <w:ind w:left="141" w:firstLine="0"/>
      </w:pPr>
      <w:rPr>
        <w:rFonts w:hint="default"/>
      </w:rPr>
    </w:lvl>
    <w:lvl w:ilvl="8" w:tentative="0">
      <w:start w:val="1"/>
      <w:numFmt w:val="decimal"/>
      <w:lvlText w:val="%1.%2.%3.%4.%5.%6.%7.%8.%9"/>
      <w:lvlJc w:val="left"/>
      <w:pPr>
        <w:tabs>
          <w:tab w:val="left" w:pos="141"/>
        </w:tabs>
        <w:ind w:left="141" w:firstLine="0"/>
      </w:pPr>
      <w:rPr>
        <w:rFonts w:hint="default"/>
      </w:rPr>
    </w:lvl>
  </w:abstractNum>
  <w:num w:numId="1">
    <w:abstractNumId w:val="25"/>
  </w:num>
  <w:num w:numId="2">
    <w:abstractNumId w:val="0"/>
  </w:num>
  <w:num w:numId="3">
    <w:abstractNumId w:val="38"/>
  </w:num>
  <w:num w:numId="4">
    <w:abstractNumId w:val="24"/>
  </w:num>
  <w:num w:numId="5">
    <w:abstractNumId w:val="53"/>
  </w:num>
  <w:num w:numId="6">
    <w:abstractNumId w:val="12"/>
  </w:num>
  <w:num w:numId="7">
    <w:abstractNumId w:val="50"/>
  </w:num>
  <w:num w:numId="8">
    <w:abstractNumId w:val="6"/>
  </w:num>
  <w:num w:numId="9">
    <w:abstractNumId w:val="16"/>
  </w:num>
  <w:num w:numId="10">
    <w:abstractNumId w:val="39"/>
  </w:num>
  <w:num w:numId="11">
    <w:abstractNumId w:val="11"/>
  </w:num>
  <w:num w:numId="12">
    <w:abstractNumId w:val="32"/>
  </w:num>
  <w:num w:numId="13">
    <w:abstractNumId w:val="45"/>
  </w:num>
  <w:num w:numId="14">
    <w:abstractNumId w:val="21"/>
  </w:num>
  <w:num w:numId="15">
    <w:abstractNumId w:val="4"/>
  </w:num>
  <w:num w:numId="16">
    <w:abstractNumId w:val="36"/>
  </w:num>
  <w:num w:numId="17">
    <w:abstractNumId w:val="42"/>
  </w:num>
  <w:num w:numId="18">
    <w:abstractNumId w:val="43"/>
  </w:num>
  <w:num w:numId="19">
    <w:abstractNumId w:val="51"/>
  </w:num>
  <w:num w:numId="20">
    <w:abstractNumId w:val="48"/>
  </w:num>
  <w:num w:numId="21">
    <w:abstractNumId w:val="2"/>
  </w:num>
  <w:num w:numId="22">
    <w:abstractNumId w:val="35"/>
  </w:num>
  <w:num w:numId="23">
    <w:abstractNumId w:val="27"/>
  </w:num>
  <w:num w:numId="24">
    <w:abstractNumId w:val="30"/>
  </w:num>
  <w:num w:numId="25">
    <w:abstractNumId w:val="19"/>
  </w:num>
  <w:num w:numId="26">
    <w:abstractNumId w:val="46"/>
  </w:num>
  <w:num w:numId="27">
    <w:abstractNumId w:val="22"/>
  </w:num>
  <w:num w:numId="28">
    <w:abstractNumId w:val="26"/>
  </w:num>
  <w:num w:numId="29">
    <w:abstractNumId w:val="17"/>
  </w:num>
  <w:num w:numId="30">
    <w:abstractNumId w:val="49"/>
  </w:num>
  <w:num w:numId="31">
    <w:abstractNumId w:val="10"/>
  </w:num>
  <w:num w:numId="32">
    <w:abstractNumId w:val="29"/>
  </w:num>
  <w:num w:numId="33">
    <w:abstractNumId w:val="40"/>
  </w:num>
  <w:num w:numId="34">
    <w:abstractNumId w:val="14"/>
  </w:num>
  <w:num w:numId="35">
    <w:abstractNumId w:val="23"/>
  </w:num>
  <w:num w:numId="36">
    <w:abstractNumId w:val="37"/>
  </w:num>
  <w:num w:numId="37">
    <w:abstractNumId w:val="44"/>
  </w:num>
  <w:num w:numId="38">
    <w:abstractNumId w:val="52"/>
  </w:num>
  <w:num w:numId="39">
    <w:abstractNumId w:val="9"/>
  </w:num>
  <w:num w:numId="40">
    <w:abstractNumId w:val="18"/>
  </w:num>
  <w:num w:numId="41">
    <w:abstractNumId w:val="41"/>
  </w:num>
  <w:num w:numId="42">
    <w:abstractNumId w:val="7"/>
  </w:num>
  <w:num w:numId="43">
    <w:abstractNumId w:val="13"/>
  </w:num>
  <w:num w:numId="44">
    <w:abstractNumId w:val="31"/>
  </w:num>
  <w:num w:numId="45">
    <w:abstractNumId w:val="1"/>
  </w:num>
  <w:num w:numId="46">
    <w:abstractNumId w:val="34"/>
  </w:num>
  <w:num w:numId="47">
    <w:abstractNumId w:val="5"/>
  </w:num>
  <w:num w:numId="48">
    <w:abstractNumId w:val="33"/>
  </w:num>
  <w:num w:numId="49">
    <w:abstractNumId w:val="8"/>
  </w:num>
  <w:num w:numId="50">
    <w:abstractNumId w:val="3"/>
  </w:num>
  <w:num w:numId="51">
    <w:abstractNumId w:val="20"/>
  </w:num>
  <w:num w:numId="52">
    <w:abstractNumId w:val="15"/>
  </w:num>
  <w:num w:numId="53">
    <w:abstractNumId w:val="47"/>
  </w:num>
  <w:num w:numId="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evenAndOddHeaders w:val="1"/>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D43EB9"/>
    <w:rsid w:val="00000540"/>
    <w:rsid w:val="00000700"/>
    <w:rsid w:val="000009A1"/>
    <w:rsid w:val="0000163E"/>
    <w:rsid w:val="0000174E"/>
    <w:rsid w:val="00001AA9"/>
    <w:rsid w:val="00001C6F"/>
    <w:rsid w:val="00001D8D"/>
    <w:rsid w:val="0000279F"/>
    <w:rsid w:val="000028B8"/>
    <w:rsid w:val="00002C44"/>
    <w:rsid w:val="00002F17"/>
    <w:rsid w:val="0000317E"/>
    <w:rsid w:val="00003499"/>
    <w:rsid w:val="000034D1"/>
    <w:rsid w:val="000036FE"/>
    <w:rsid w:val="00003899"/>
    <w:rsid w:val="00003DD8"/>
    <w:rsid w:val="00003F97"/>
    <w:rsid w:val="00004512"/>
    <w:rsid w:val="00004697"/>
    <w:rsid w:val="00004B6B"/>
    <w:rsid w:val="000058ED"/>
    <w:rsid w:val="00005BFF"/>
    <w:rsid w:val="00005F24"/>
    <w:rsid w:val="000064C7"/>
    <w:rsid w:val="0000655E"/>
    <w:rsid w:val="000066E7"/>
    <w:rsid w:val="000071BF"/>
    <w:rsid w:val="000071E1"/>
    <w:rsid w:val="0000742D"/>
    <w:rsid w:val="00007D96"/>
    <w:rsid w:val="00010350"/>
    <w:rsid w:val="00010718"/>
    <w:rsid w:val="00010C07"/>
    <w:rsid w:val="00010DD7"/>
    <w:rsid w:val="00010E0C"/>
    <w:rsid w:val="00010F9C"/>
    <w:rsid w:val="00011918"/>
    <w:rsid w:val="00011CA6"/>
    <w:rsid w:val="00012695"/>
    <w:rsid w:val="0001283B"/>
    <w:rsid w:val="00012869"/>
    <w:rsid w:val="00012A9D"/>
    <w:rsid w:val="00012BA6"/>
    <w:rsid w:val="000130C3"/>
    <w:rsid w:val="00013256"/>
    <w:rsid w:val="000135E0"/>
    <w:rsid w:val="000139B2"/>
    <w:rsid w:val="00013CE1"/>
    <w:rsid w:val="00013D1A"/>
    <w:rsid w:val="000141D9"/>
    <w:rsid w:val="00014223"/>
    <w:rsid w:val="0001450B"/>
    <w:rsid w:val="000145AA"/>
    <w:rsid w:val="00014895"/>
    <w:rsid w:val="000149C0"/>
    <w:rsid w:val="00014AD0"/>
    <w:rsid w:val="0001548C"/>
    <w:rsid w:val="000155C7"/>
    <w:rsid w:val="0001593A"/>
    <w:rsid w:val="00015B25"/>
    <w:rsid w:val="00015CCE"/>
    <w:rsid w:val="00015EE1"/>
    <w:rsid w:val="000160A5"/>
    <w:rsid w:val="00016D97"/>
    <w:rsid w:val="000173C7"/>
    <w:rsid w:val="00017571"/>
    <w:rsid w:val="0002011A"/>
    <w:rsid w:val="00020268"/>
    <w:rsid w:val="0002061F"/>
    <w:rsid w:val="00020758"/>
    <w:rsid w:val="000207AC"/>
    <w:rsid w:val="00020E74"/>
    <w:rsid w:val="0002112D"/>
    <w:rsid w:val="000216B0"/>
    <w:rsid w:val="000220B4"/>
    <w:rsid w:val="000226AF"/>
    <w:rsid w:val="00022BA6"/>
    <w:rsid w:val="00022E73"/>
    <w:rsid w:val="00023389"/>
    <w:rsid w:val="00023618"/>
    <w:rsid w:val="00023771"/>
    <w:rsid w:val="000237B5"/>
    <w:rsid w:val="00023823"/>
    <w:rsid w:val="00025050"/>
    <w:rsid w:val="00025978"/>
    <w:rsid w:val="0002597E"/>
    <w:rsid w:val="0002599E"/>
    <w:rsid w:val="00025B52"/>
    <w:rsid w:val="00025DDA"/>
    <w:rsid w:val="000265C2"/>
    <w:rsid w:val="00026D15"/>
    <w:rsid w:val="000272EB"/>
    <w:rsid w:val="000276F2"/>
    <w:rsid w:val="00027712"/>
    <w:rsid w:val="00027834"/>
    <w:rsid w:val="00027E0D"/>
    <w:rsid w:val="0003012D"/>
    <w:rsid w:val="0003048F"/>
    <w:rsid w:val="00030B84"/>
    <w:rsid w:val="000311B6"/>
    <w:rsid w:val="000312B5"/>
    <w:rsid w:val="00031525"/>
    <w:rsid w:val="00031DFC"/>
    <w:rsid w:val="0003309B"/>
    <w:rsid w:val="0003312F"/>
    <w:rsid w:val="00033141"/>
    <w:rsid w:val="000332DE"/>
    <w:rsid w:val="0003337B"/>
    <w:rsid w:val="00033741"/>
    <w:rsid w:val="00033BB1"/>
    <w:rsid w:val="00034D62"/>
    <w:rsid w:val="000352B7"/>
    <w:rsid w:val="00035B05"/>
    <w:rsid w:val="00036960"/>
    <w:rsid w:val="00036D6F"/>
    <w:rsid w:val="00037B14"/>
    <w:rsid w:val="000413EA"/>
    <w:rsid w:val="00041420"/>
    <w:rsid w:val="00041A0A"/>
    <w:rsid w:val="00041B53"/>
    <w:rsid w:val="00041F6B"/>
    <w:rsid w:val="00042444"/>
    <w:rsid w:val="000425E3"/>
    <w:rsid w:val="00042CAC"/>
    <w:rsid w:val="00042EDC"/>
    <w:rsid w:val="00043056"/>
    <w:rsid w:val="00043595"/>
    <w:rsid w:val="0004366D"/>
    <w:rsid w:val="00044270"/>
    <w:rsid w:val="000444FD"/>
    <w:rsid w:val="00044AF3"/>
    <w:rsid w:val="00044D15"/>
    <w:rsid w:val="00044DF7"/>
    <w:rsid w:val="00045805"/>
    <w:rsid w:val="00046BFC"/>
    <w:rsid w:val="00046E0E"/>
    <w:rsid w:val="00046E44"/>
    <w:rsid w:val="00046F52"/>
    <w:rsid w:val="00046FFA"/>
    <w:rsid w:val="00047404"/>
    <w:rsid w:val="00047984"/>
    <w:rsid w:val="000479DD"/>
    <w:rsid w:val="00047F6C"/>
    <w:rsid w:val="00050025"/>
    <w:rsid w:val="000501BE"/>
    <w:rsid w:val="00050219"/>
    <w:rsid w:val="00050762"/>
    <w:rsid w:val="0005093C"/>
    <w:rsid w:val="00050BA2"/>
    <w:rsid w:val="000518C9"/>
    <w:rsid w:val="000519DA"/>
    <w:rsid w:val="00052733"/>
    <w:rsid w:val="000527A2"/>
    <w:rsid w:val="00052BD6"/>
    <w:rsid w:val="0005326E"/>
    <w:rsid w:val="00053A19"/>
    <w:rsid w:val="00053AB3"/>
    <w:rsid w:val="00054CD7"/>
    <w:rsid w:val="00054F47"/>
    <w:rsid w:val="00054F59"/>
    <w:rsid w:val="00054FA1"/>
    <w:rsid w:val="00055116"/>
    <w:rsid w:val="000551FA"/>
    <w:rsid w:val="00055829"/>
    <w:rsid w:val="00055F02"/>
    <w:rsid w:val="00055F52"/>
    <w:rsid w:val="00056019"/>
    <w:rsid w:val="0005603A"/>
    <w:rsid w:val="00056085"/>
    <w:rsid w:val="0005621A"/>
    <w:rsid w:val="0005659D"/>
    <w:rsid w:val="00056BD6"/>
    <w:rsid w:val="0005760E"/>
    <w:rsid w:val="000577C8"/>
    <w:rsid w:val="00060D69"/>
    <w:rsid w:val="00060E04"/>
    <w:rsid w:val="00061101"/>
    <w:rsid w:val="000612B6"/>
    <w:rsid w:val="000613C9"/>
    <w:rsid w:val="00061480"/>
    <w:rsid w:val="0006156B"/>
    <w:rsid w:val="0006162F"/>
    <w:rsid w:val="000616A4"/>
    <w:rsid w:val="000618E0"/>
    <w:rsid w:val="000623DE"/>
    <w:rsid w:val="000624A7"/>
    <w:rsid w:val="000627CE"/>
    <w:rsid w:val="00062B58"/>
    <w:rsid w:val="00062CFF"/>
    <w:rsid w:val="00062F66"/>
    <w:rsid w:val="00062F69"/>
    <w:rsid w:val="00063435"/>
    <w:rsid w:val="000637DB"/>
    <w:rsid w:val="00063BF1"/>
    <w:rsid w:val="00064053"/>
    <w:rsid w:val="00064178"/>
    <w:rsid w:val="00064244"/>
    <w:rsid w:val="00064675"/>
    <w:rsid w:val="0006473E"/>
    <w:rsid w:val="00064A21"/>
    <w:rsid w:val="0006501A"/>
    <w:rsid w:val="000652D5"/>
    <w:rsid w:val="00065BA5"/>
    <w:rsid w:val="00065C0F"/>
    <w:rsid w:val="0006645F"/>
    <w:rsid w:val="00066808"/>
    <w:rsid w:val="00066A26"/>
    <w:rsid w:val="00066F90"/>
    <w:rsid w:val="000670DD"/>
    <w:rsid w:val="000675B7"/>
    <w:rsid w:val="000677C9"/>
    <w:rsid w:val="000677E9"/>
    <w:rsid w:val="00067A5A"/>
    <w:rsid w:val="000701E8"/>
    <w:rsid w:val="000707A3"/>
    <w:rsid w:val="000708BE"/>
    <w:rsid w:val="00070C2F"/>
    <w:rsid w:val="00070C7B"/>
    <w:rsid w:val="00070DDA"/>
    <w:rsid w:val="0007115D"/>
    <w:rsid w:val="00071630"/>
    <w:rsid w:val="000718A8"/>
    <w:rsid w:val="00071937"/>
    <w:rsid w:val="00071F9B"/>
    <w:rsid w:val="00072733"/>
    <w:rsid w:val="00072BB7"/>
    <w:rsid w:val="00072E81"/>
    <w:rsid w:val="000731E3"/>
    <w:rsid w:val="000737F3"/>
    <w:rsid w:val="000745AF"/>
    <w:rsid w:val="000747A5"/>
    <w:rsid w:val="00074A04"/>
    <w:rsid w:val="00074C0D"/>
    <w:rsid w:val="00074F17"/>
    <w:rsid w:val="000753FC"/>
    <w:rsid w:val="000757C9"/>
    <w:rsid w:val="00075823"/>
    <w:rsid w:val="00076052"/>
    <w:rsid w:val="0007620F"/>
    <w:rsid w:val="000763B1"/>
    <w:rsid w:val="000765DB"/>
    <w:rsid w:val="00076B3D"/>
    <w:rsid w:val="0007708A"/>
    <w:rsid w:val="00077434"/>
    <w:rsid w:val="000778B0"/>
    <w:rsid w:val="00077957"/>
    <w:rsid w:val="00077C07"/>
    <w:rsid w:val="00077C1B"/>
    <w:rsid w:val="000805C1"/>
    <w:rsid w:val="00080A89"/>
    <w:rsid w:val="00080AC1"/>
    <w:rsid w:val="00080C39"/>
    <w:rsid w:val="000813FB"/>
    <w:rsid w:val="00081907"/>
    <w:rsid w:val="00081A3E"/>
    <w:rsid w:val="00081A7E"/>
    <w:rsid w:val="00081B67"/>
    <w:rsid w:val="00081C68"/>
    <w:rsid w:val="00081C6D"/>
    <w:rsid w:val="00081D03"/>
    <w:rsid w:val="00081D78"/>
    <w:rsid w:val="00081DAE"/>
    <w:rsid w:val="00081EF4"/>
    <w:rsid w:val="00082A6F"/>
    <w:rsid w:val="000834C1"/>
    <w:rsid w:val="000837F7"/>
    <w:rsid w:val="00083A9E"/>
    <w:rsid w:val="00083FBB"/>
    <w:rsid w:val="00084254"/>
    <w:rsid w:val="0008428D"/>
    <w:rsid w:val="00084A71"/>
    <w:rsid w:val="000850B7"/>
    <w:rsid w:val="0008547C"/>
    <w:rsid w:val="000854B8"/>
    <w:rsid w:val="00085C25"/>
    <w:rsid w:val="00085FD2"/>
    <w:rsid w:val="0008625C"/>
    <w:rsid w:val="0008678F"/>
    <w:rsid w:val="000867CE"/>
    <w:rsid w:val="000869CB"/>
    <w:rsid w:val="00086E42"/>
    <w:rsid w:val="00086FD2"/>
    <w:rsid w:val="00087078"/>
    <w:rsid w:val="0008722E"/>
    <w:rsid w:val="00087FD7"/>
    <w:rsid w:val="0009011E"/>
    <w:rsid w:val="000901F6"/>
    <w:rsid w:val="00090840"/>
    <w:rsid w:val="000908EB"/>
    <w:rsid w:val="00090B38"/>
    <w:rsid w:val="00092751"/>
    <w:rsid w:val="00092B39"/>
    <w:rsid w:val="00093041"/>
    <w:rsid w:val="000936B9"/>
    <w:rsid w:val="00093757"/>
    <w:rsid w:val="00093A85"/>
    <w:rsid w:val="00093C3A"/>
    <w:rsid w:val="00093FBF"/>
    <w:rsid w:val="00093FF1"/>
    <w:rsid w:val="000940D8"/>
    <w:rsid w:val="000942FA"/>
    <w:rsid w:val="00094321"/>
    <w:rsid w:val="00094398"/>
    <w:rsid w:val="000944C7"/>
    <w:rsid w:val="00094592"/>
    <w:rsid w:val="000949E0"/>
    <w:rsid w:val="00094CC8"/>
    <w:rsid w:val="00094EB9"/>
    <w:rsid w:val="00095239"/>
    <w:rsid w:val="0009539F"/>
    <w:rsid w:val="000953F6"/>
    <w:rsid w:val="0009618E"/>
    <w:rsid w:val="000961E6"/>
    <w:rsid w:val="0009634B"/>
    <w:rsid w:val="000965A4"/>
    <w:rsid w:val="0009678A"/>
    <w:rsid w:val="000969DC"/>
    <w:rsid w:val="00096B91"/>
    <w:rsid w:val="00096F6D"/>
    <w:rsid w:val="000970C0"/>
    <w:rsid w:val="00097F15"/>
    <w:rsid w:val="00097F34"/>
    <w:rsid w:val="00097F87"/>
    <w:rsid w:val="000A03A6"/>
    <w:rsid w:val="000A05ED"/>
    <w:rsid w:val="000A0AE5"/>
    <w:rsid w:val="000A0DB3"/>
    <w:rsid w:val="000A0FF3"/>
    <w:rsid w:val="000A15F4"/>
    <w:rsid w:val="000A16A3"/>
    <w:rsid w:val="000A1AD4"/>
    <w:rsid w:val="000A1C24"/>
    <w:rsid w:val="000A1CA9"/>
    <w:rsid w:val="000A242A"/>
    <w:rsid w:val="000A249A"/>
    <w:rsid w:val="000A2653"/>
    <w:rsid w:val="000A2825"/>
    <w:rsid w:val="000A2A1D"/>
    <w:rsid w:val="000A2B56"/>
    <w:rsid w:val="000A2EDE"/>
    <w:rsid w:val="000A301B"/>
    <w:rsid w:val="000A3057"/>
    <w:rsid w:val="000A348A"/>
    <w:rsid w:val="000A3E31"/>
    <w:rsid w:val="000A405F"/>
    <w:rsid w:val="000A40F4"/>
    <w:rsid w:val="000A4117"/>
    <w:rsid w:val="000A4246"/>
    <w:rsid w:val="000A453C"/>
    <w:rsid w:val="000A46B0"/>
    <w:rsid w:val="000A4988"/>
    <w:rsid w:val="000A4C4F"/>
    <w:rsid w:val="000A4F0E"/>
    <w:rsid w:val="000A520B"/>
    <w:rsid w:val="000A558D"/>
    <w:rsid w:val="000A56A8"/>
    <w:rsid w:val="000A5E43"/>
    <w:rsid w:val="000A65E0"/>
    <w:rsid w:val="000A6EAE"/>
    <w:rsid w:val="000A6F46"/>
    <w:rsid w:val="000A72F4"/>
    <w:rsid w:val="000A78D3"/>
    <w:rsid w:val="000A7CAC"/>
    <w:rsid w:val="000A7DFF"/>
    <w:rsid w:val="000A7EA7"/>
    <w:rsid w:val="000B0055"/>
    <w:rsid w:val="000B075A"/>
    <w:rsid w:val="000B0B16"/>
    <w:rsid w:val="000B0B8C"/>
    <w:rsid w:val="000B1017"/>
    <w:rsid w:val="000B101D"/>
    <w:rsid w:val="000B10FF"/>
    <w:rsid w:val="000B14CC"/>
    <w:rsid w:val="000B1540"/>
    <w:rsid w:val="000B1945"/>
    <w:rsid w:val="000B1A9D"/>
    <w:rsid w:val="000B207D"/>
    <w:rsid w:val="000B2095"/>
    <w:rsid w:val="000B2682"/>
    <w:rsid w:val="000B2A96"/>
    <w:rsid w:val="000B2B9F"/>
    <w:rsid w:val="000B32BF"/>
    <w:rsid w:val="000B3691"/>
    <w:rsid w:val="000B369A"/>
    <w:rsid w:val="000B3B3A"/>
    <w:rsid w:val="000B3FDB"/>
    <w:rsid w:val="000B4388"/>
    <w:rsid w:val="000B4AB1"/>
    <w:rsid w:val="000B50FF"/>
    <w:rsid w:val="000B51CF"/>
    <w:rsid w:val="000B551E"/>
    <w:rsid w:val="000B5BB1"/>
    <w:rsid w:val="000B6A6F"/>
    <w:rsid w:val="000B7065"/>
    <w:rsid w:val="000B7A41"/>
    <w:rsid w:val="000B7D14"/>
    <w:rsid w:val="000C022B"/>
    <w:rsid w:val="000C05C7"/>
    <w:rsid w:val="000C0ED0"/>
    <w:rsid w:val="000C0FCC"/>
    <w:rsid w:val="000C10F5"/>
    <w:rsid w:val="000C1566"/>
    <w:rsid w:val="000C19B0"/>
    <w:rsid w:val="000C1F55"/>
    <w:rsid w:val="000C20D6"/>
    <w:rsid w:val="000C249A"/>
    <w:rsid w:val="000C2504"/>
    <w:rsid w:val="000C2596"/>
    <w:rsid w:val="000C25B3"/>
    <w:rsid w:val="000C27CD"/>
    <w:rsid w:val="000C2963"/>
    <w:rsid w:val="000C2AF0"/>
    <w:rsid w:val="000C2D93"/>
    <w:rsid w:val="000C31CB"/>
    <w:rsid w:val="000C34F8"/>
    <w:rsid w:val="000C39E8"/>
    <w:rsid w:val="000C3CE7"/>
    <w:rsid w:val="000C448A"/>
    <w:rsid w:val="000C4522"/>
    <w:rsid w:val="000C4CAF"/>
    <w:rsid w:val="000C4F62"/>
    <w:rsid w:val="000C518B"/>
    <w:rsid w:val="000C51F3"/>
    <w:rsid w:val="000C5C39"/>
    <w:rsid w:val="000C5EFC"/>
    <w:rsid w:val="000C606C"/>
    <w:rsid w:val="000C60E5"/>
    <w:rsid w:val="000C63BB"/>
    <w:rsid w:val="000C6405"/>
    <w:rsid w:val="000C6699"/>
    <w:rsid w:val="000C6885"/>
    <w:rsid w:val="000C6ACE"/>
    <w:rsid w:val="000C6CFE"/>
    <w:rsid w:val="000C6D5B"/>
    <w:rsid w:val="000C763E"/>
    <w:rsid w:val="000C7AB0"/>
    <w:rsid w:val="000C7B71"/>
    <w:rsid w:val="000C7F19"/>
    <w:rsid w:val="000C7F9F"/>
    <w:rsid w:val="000D0517"/>
    <w:rsid w:val="000D08F4"/>
    <w:rsid w:val="000D0C47"/>
    <w:rsid w:val="000D0F79"/>
    <w:rsid w:val="000D164A"/>
    <w:rsid w:val="000D1894"/>
    <w:rsid w:val="000D194B"/>
    <w:rsid w:val="000D1D7D"/>
    <w:rsid w:val="000D1DD7"/>
    <w:rsid w:val="000D2A5C"/>
    <w:rsid w:val="000D2EB8"/>
    <w:rsid w:val="000D2FA2"/>
    <w:rsid w:val="000D3056"/>
    <w:rsid w:val="000D31E4"/>
    <w:rsid w:val="000D3629"/>
    <w:rsid w:val="000D3D50"/>
    <w:rsid w:val="000D3EC4"/>
    <w:rsid w:val="000D3ECE"/>
    <w:rsid w:val="000D4E34"/>
    <w:rsid w:val="000D52B4"/>
    <w:rsid w:val="000D5367"/>
    <w:rsid w:val="000D553E"/>
    <w:rsid w:val="000D5C06"/>
    <w:rsid w:val="000D5E1F"/>
    <w:rsid w:val="000D5FFE"/>
    <w:rsid w:val="000D6418"/>
    <w:rsid w:val="000D66F0"/>
    <w:rsid w:val="000D6AC0"/>
    <w:rsid w:val="000D6D4C"/>
    <w:rsid w:val="000D6F43"/>
    <w:rsid w:val="000D717A"/>
    <w:rsid w:val="000D747D"/>
    <w:rsid w:val="000D784E"/>
    <w:rsid w:val="000D7973"/>
    <w:rsid w:val="000D79F4"/>
    <w:rsid w:val="000E024B"/>
    <w:rsid w:val="000E03A7"/>
    <w:rsid w:val="000E0727"/>
    <w:rsid w:val="000E0C66"/>
    <w:rsid w:val="000E15B6"/>
    <w:rsid w:val="000E1877"/>
    <w:rsid w:val="000E1A2F"/>
    <w:rsid w:val="000E2130"/>
    <w:rsid w:val="000E2225"/>
    <w:rsid w:val="000E2D99"/>
    <w:rsid w:val="000E3BC5"/>
    <w:rsid w:val="000E3E76"/>
    <w:rsid w:val="000E3F6C"/>
    <w:rsid w:val="000E4041"/>
    <w:rsid w:val="000E4128"/>
    <w:rsid w:val="000E45DC"/>
    <w:rsid w:val="000E47D9"/>
    <w:rsid w:val="000E48FD"/>
    <w:rsid w:val="000E515A"/>
    <w:rsid w:val="000E5620"/>
    <w:rsid w:val="000E58F5"/>
    <w:rsid w:val="000E5B05"/>
    <w:rsid w:val="000E5B1C"/>
    <w:rsid w:val="000E6387"/>
    <w:rsid w:val="000E63ED"/>
    <w:rsid w:val="000E6553"/>
    <w:rsid w:val="000E657D"/>
    <w:rsid w:val="000E6D27"/>
    <w:rsid w:val="000F00D6"/>
    <w:rsid w:val="000F0161"/>
    <w:rsid w:val="000F0810"/>
    <w:rsid w:val="000F0C41"/>
    <w:rsid w:val="000F1328"/>
    <w:rsid w:val="000F145E"/>
    <w:rsid w:val="000F1A88"/>
    <w:rsid w:val="000F1D22"/>
    <w:rsid w:val="000F221E"/>
    <w:rsid w:val="000F268F"/>
    <w:rsid w:val="000F2983"/>
    <w:rsid w:val="000F2B3A"/>
    <w:rsid w:val="000F2C97"/>
    <w:rsid w:val="000F2FF3"/>
    <w:rsid w:val="000F3DEF"/>
    <w:rsid w:val="000F422B"/>
    <w:rsid w:val="000F4239"/>
    <w:rsid w:val="000F425F"/>
    <w:rsid w:val="000F4629"/>
    <w:rsid w:val="000F52DA"/>
    <w:rsid w:val="000F5A63"/>
    <w:rsid w:val="000F6748"/>
    <w:rsid w:val="000F6B2C"/>
    <w:rsid w:val="000F702C"/>
    <w:rsid w:val="000F7A1B"/>
    <w:rsid w:val="000F7A51"/>
    <w:rsid w:val="000F7EB6"/>
    <w:rsid w:val="000F7EE3"/>
    <w:rsid w:val="00100579"/>
    <w:rsid w:val="001005B2"/>
    <w:rsid w:val="001007E9"/>
    <w:rsid w:val="001009FB"/>
    <w:rsid w:val="00100BF7"/>
    <w:rsid w:val="0010107B"/>
    <w:rsid w:val="001011B8"/>
    <w:rsid w:val="00101AD0"/>
    <w:rsid w:val="00101B10"/>
    <w:rsid w:val="0010256B"/>
    <w:rsid w:val="00102573"/>
    <w:rsid w:val="001029BC"/>
    <w:rsid w:val="00102AA4"/>
    <w:rsid w:val="00102FFE"/>
    <w:rsid w:val="00103287"/>
    <w:rsid w:val="00104217"/>
    <w:rsid w:val="00104869"/>
    <w:rsid w:val="00104E32"/>
    <w:rsid w:val="001050FB"/>
    <w:rsid w:val="00105A1B"/>
    <w:rsid w:val="00105AF4"/>
    <w:rsid w:val="00105B07"/>
    <w:rsid w:val="00105D76"/>
    <w:rsid w:val="0010607E"/>
    <w:rsid w:val="00106090"/>
    <w:rsid w:val="0010631D"/>
    <w:rsid w:val="00107030"/>
    <w:rsid w:val="00107274"/>
    <w:rsid w:val="001072B8"/>
    <w:rsid w:val="001075D1"/>
    <w:rsid w:val="00107644"/>
    <w:rsid w:val="001078BA"/>
    <w:rsid w:val="00107A7B"/>
    <w:rsid w:val="00107DDD"/>
    <w:rsid w:val="00107F51"/>
    <w:rsid w:val="00110226"/>
    <w:rsid w:val="00110CC4"/>
    <w:rsid w:val="0011117E"/>
    <w:rsid w:val="00111268"/>
    <w:rsid w:val="001118E0"/>
    <w:rsid w:val="0011211B"/>
    <w:rsid w:val="001121BE"/>
    <w:rsid w:val="001126D7"/>
    <w:rsid w:val="00112734"/>
    <w:rsid w:val="00112B8B"/>
    <w:rsid w:val="00112C39"/>
    <w:rsid w:val="00112FE3"/>
    <w:rsid w:val="001130FB"/>
    <w:rsid w:val="0011328D"/>
    <w:rsid w:val="0011359F"/>
    <w:rsid w:val="00113850"/>
    <w:rsid w:val="00113945"/>
    <w:rsid w:val="00113C47"/>
    <w:rsid w:val="0011428E"/>
    <w:rsid w:val="001143A1"/>
    <w:rsid w:val="00114499"/>
    <w:rsid w:val="001144E5"/>
    <w:rsid w:val="00114579"/>
    <w:rsid w:val="00114723"/>
    <w:rsid w:val="001148A1"/>
    <w:rsid w:val="00114940"/>
    <w:rsid w:val="00115021"/>
    <w:rsid w:val="00115153"/>
    <w:rsid w:val="001153EF"/>
    <w:rsid w:val="00115914"/>
    <w:rsid w:val="00115A1A"/>
    <w:rsid w:val="00116206"/>
    <w:rsid w:val="0011648C"/>
    <w:rsid w:val="00116D12"/>
    <w:rsid w:val="00116E96"/>
    <w:rsid w:val="001170A5"/>
    <w:rsid w:val="00117B91"/>
    <w:rsid w:val="00117D91"/>
    <w:rsid w:val="001202F9"/>
    <w:rsid w:val="00120718"/>
    <w:rsid w:val="00120946"/>
    <w:rsid w:val="00120A5C"/>
    <w:rsid w:val="001211CE"/>
    <w:rsid w:val="00121A30"/>
    <w:rsid w:val="00121E97"/>
    <w:rsid w:val="00122083"/>
    <w:rsid w:val="00122309"/>
    <w:rsid w:val="00122531"/>
    <w:rsid w:val="00122680"/>
    <w:rsid w:val="00122706"/>
    <w:rsid w:val="00122C02"/>
    <w:rsid w:val="00122D5B"/>
    <w:rsid w:val="00122DBF"/>
    <w:rsid w:val="00122E5B"/>
    <w:rsid w:val="00122EC9"/>
    <w:rsid w:val="00123026"/>
    <w:rsid w:val="0012324F"/>
    <w:rsid w:val="001235AE"/>
    <w:rsid w:val="001238BE"/>
    <w:rsid w:val="00123B00"/>
    <w:rsid w:val="00124298"/>
    <w:rsid w:val="00124336"/>
    <w:rsid w:val="00124B2C"/>
    <w:rsid w:val="00124E31"/>
    <w:rsid w:val="0012514F"/>
    <w:rsid w:val="001251F4"/>
    <w:rsid w:val="0012578A"/>
    <w:rsid w:val="00125C5A"/>
    <w:rsid w:val="00125C96"/>
    <w:rsid w:val="0012612C"/>
    <w:rsid w:val="001266D8"/>
    <w:rsid w:val="001269A8"/>
    <w:rsid w:val="001274B5"/>
    <w:rsid w:val="00127611"/>
    <w:rsid w:val="00127917"/>
    <w:rsid w:val="001279A7"/>
    <w:rsid w:val="001307C5"/>
    <w:rsid w:val="00130FB7"/>
    <w:rsid w:val="0013171B"/>
    <w:rsid w:val="00131C79"/>
    <w:rsid w:val="00132402"/>
    <w:rsid w:val="00132BDA"/>
    <w:rsid w:val="00132FA4"/>
    <w:rsid w:val="00133E42"/>
    <w:rsid w:val="00134358"/>
    <w:rsid w:val="001351AD"/>
    <w:rsid w:val="001356BF"/>
    <w:rsid w:val="0013654F"/>
    <w:rsid w:val="00136737"/>
    <w:rsid w:val="0013685C"/>
    <w:rsid w:val="001372DA"/>
    <w:rsid w:val="001376DE"/>
    <w:rsid w:val="00137B36"/>
    <w:rsid w:val="00137BEF"/>
    <w:rsid w:val="00137DFA"/>
    <w:rsid w:val="00140882"/>
    <w:rsid w:val="00140ECB"/>
    <w:rsid w:val="00140F67"/>
    <w:rsid w:val="00141062"/>
    <w:rsid w:val="0014174E"/>
    <w:rsid w:val="00141855"/>
    <w:rsid w:val="00141AC9"/>
    <w:rsid w:val="00141CF6"/>
    <w:rsid w:val="00142278"/>
    <w:rsid w:val="00142856"/>
    <w:rsid w:val="0014310D"/>
    <w:rsid w:val="001432D5"/>
    <w:rsid w:val="00143424"/>
    <w:rsid w:val="001435A5"/>
    <w:rsid w:val="00143796"/>
    <w:rsid w:val="00143918"/>
    <w:rsid w:val="00143C21"/>
    <w:rsid w:val="00144700"/>
    <w:rsid w:val="00144B92"/>
    <w:rsid w:val="00144E4B"/>
    <w:rsid w:val="00144E6B"/>
    <w:rsid w:val="00144F8F"/>
    <w:rsid w:val="00145123"/>
    <w:rsid w:val="0014556C"/>
    <w:rsid w:val="00145734"/>
    <w:rsid w:val="00145BA3"/>
    <w:rsid w:val="00145DE5"/>
    <w:rsid w:val="00145E02"/>
    <w:rsid w:val="0014663C"/>
    <w:rsid w:val="00146B95"/>
    <w:rsid w:val="00146C8E"/>
    <w:rsid w:val="00146DA8"/>
    <w:rsid w:val="00146E70"/>
    <w:rsid w:val="00146ED6"/>
    <w:rsid w:val="00146FAA"/>
    <w:rsid w:val="001470D3"/>
    <w:rsid w:val="001471E4"/>
    <w:rsid w:val="001475D4"/>
    <w:rsid w:val="001477E2"/>
    <w:rsid w:val="0014798D"/>
    <w:rsid w:val="00147D17"/>
    <w:rsid w:val="00147D31"/>
    <w:rsid w:val="00147E72"/>
    <w:rsid w:val="00147FBE"/>
    <w:rsid w:val="00150394"/>
    <w:rsid w:val="001505D6"/>
    <w:rsid w:val="00150AE3"/>
    <w:rsid w:val="00150AE5"/>
    <w:rsid w:val="00150B85"/>
    <w:rsid w:val="00150D7F"/>
    <w:rsid w:val="00150FDD"/>
    <w:rsid w:val="00151239"/>
    <w:rsid w:val="0015132C"/>
    <w:rsid w:val="001513C2"/>
    <w:rsid w:val="0015154C"/>
    <w:rsid w:val="001516E6"/>
    <w:rsid w:val="001519DE"/>
    <w:rsid w:val="001531BF"/>
    <w:rsid w:val="0015351C"/>
    <w:rsid w:val="00153D25"/>
    <w:rsid w:val="001545F9"/>
    <w:rsid w:val="0015485E"/>
    <w:rsid w:val="00154B04"/>
    <w:rsid w:val="00154C60"/>
    <w:rsid w:val="00154E02"/>
    <w:rsid w:val="001557D4"/>
    <w:rsid w:val="00155BDC"/>
    <w:rsid w:val="001565B3"/>
    <w:rsid w:val="00156ABA"/>
    <w:rsid w:val="00156AF6"/>
    <w:rsid w:val="00156CE9"/>
    <w:rsid w:val="00156D49"/>
    <w:rsid w:val="00157E78"/>
    <w:rsid w:val="00160259"/>
    <w:rsid w:val="0016053B"/>
    <w:rsid w:val="00160D83"/>
    <w:rsid w:val="00160F41"/>
    <w:rsid w:val="00160F53"/>
    <w:rsid w:val="001610D9"/>
    <w:rsid w:val="001614D8"/>
    <w:rsid w:val="001618D7"/>
    <w:rsid w:val="00161A94"/>
    <w:rsid w:val="00161DC8"/>
    <w:rsid w:val="00161EDA"/>
    <w:rsid w:val="00162161"/>
    <w:rsid w:val="00162377"/>
    <w:rsid w:val="001623BD"/>
    <w:rsid w:val="001624A1"/>
    <w:rsid w:val="00162A52"/>
    <w:rsid w:val="00162C2E"/>
    <w:rsid w:val="00162D6A"/>
    <w:rsid w:val="00163537"/>
    <w:rsid w:val="00163988"/>
    <w:rsid w:val="00163F5C"/>
    <w:rsid w:val="001641AB"/>
    <w:rsid w:val="001642DD"/>
    <w:rsid w:val="00164512"/>
    <w:rsid w:val="00164943"/>
    <w:rsid w:val="00165B98"/>
    <w:rsid w:val="00165F92"/>
    <w:rsid w:val="0016611B"/>
    <w:rsid w:val="0016614F"/>
    <w:rsid w:val="0016620F"/>
    <w:rsid w:val="00166274"/>
    <w:rsid w:val="001666AC"/>
    <w:rsid w:val="0016695F"/>
    <w:rsid w:val="00166E78"/>
    <w:rsid w:val="00166FAA"/>
    <w:rsid w:val="001672C0"/>
    <w:rsid w:val="00167442"/>
    <w:rsid w:val="0016745E"/>
    <w:rsid w:val="0016750F"/>
    <w:rsid w:val="00167582"/>
    <w:rsid w:val="00167637"/>
    <w:rsid w:val="001678BA"/>
    <w:rsid w:val="00170911"/>
    <w:rsid w:val="0017092B"/>
    <w:rsid w:val="00170B45"/>
    <w:rsid w:val="00170CCE"/>
    <w:rsid w:val="00170D00"/>
    <w:rsid w:val="00170F0B"/>
    <w:rsid w:val="001723ED"/>
    <w:rsid w:val="001724B4"/>
    <w:rsid w:val="00172649"/>
    <w:rsid w:val="00172AD4"/>
    <w:rsid w:val="00172CF6"/>
    <w:rsid w:val="001732E3"/>
    <w:rsid w:val="00173CC5"/>
    <w:rsid w:val="00174159"/>
    <w:rsid w:val="001743F5"/>
    <w:rsid w:val="001745A8"/>
    <w:rsid w:val="0017532B"/>
    <w:rsid w:val="001753A2"/>
    <w:rsid w:val="001753EE"/>
    <w:rsid w:val="001754A3"/>
    <w:rsid w:val="001756F5"/>
    <w:rsid w:val="0017592A"/>
    <w:rsid w:val="00175F61"/>
    <w:rsid w:val="001761F4"/>
    <w:rsid w:val="0017627E"/>
    <w:rsid w:val="00176315"/>
    <w:rsid w:val="00176ABA"/>
    <w:rsid w:val="00176C94"/>
    <w:rsid w:val="001771FC"/>
    <w:rsid w:val="00177494"/>
    <w:rsid w:val="00177983"/>
    <w:rsid w:val="00177BA0"/>
    <w:rsid w:val="00177C84"/>
    <w:rsid w:val="00180085"/>
    <w:rsid w:val="001803F8"/>
    <w:rsid w:val="001808A4"/>
    <w:rsid w:val="001809DB"/>
    <w:rsid w:val="00180A6A"/>
    <w:rsid w:val="00180D57"/>
    <w:rsid w:val="00180E06"/>
    <w:rsid w:val="00180E4D"/>
    <w:rsid w:val="001812B7"/>
    <w:rsid w:val="00181753"/>
    <w:rsid w:val="001817BE"/>
    <w:rsid w:val="001818E5"/>
    <w:rsid w:val="00181D7E"/>
    <w:rsid w:val="00181DDD"/>
    <w:rsid w:val="00181EC7"/>
    <w:rsid w:val="00181ECC"/>
    <w:rsid w:val="00181F0F"/>
    <w:rsid w:val="00182B95"/>
    <w:rsid w:val="00182E86"/>
    <w:rsid w:val="00182F94"/>
    <w:rsid w:val="0018337C"/>
    <w:rsid w:val="00183558"/>
    <w:rsid w:val="00183B18"/>
    <w:rsid w:val="00183C29"/>
    <w:rsid w:val="00183C73"/>
    <w:rsid w:val="00183CF0"/>
    <w:rsid w:val="00183D86"/>
    <w:rsid w:val="0018452A"/>
    <w:rsid w:val="00184D64"/>
    <w:rsid w:val="0018579F"/>
    <w:rsid w:val="00186410"/>
    <w:rsid w:val="001865DD"/>
    <w:rsid w:val="00186A6F"/>
    <w:rsid w:val="00186B15"/>
    <w:rsid w:val="00186B93"/>
    <w:rsid w:val="0018730D"/>
    <w:rsid w:val="001873D2"/>
    <w:rsid w:val="001876AD"/>
    <w:rsid w:val="001876CA"/>
    <w:rsid w:val="00190044"/>
    <w:rsid w:val="0019033E"/>
    <w:rsid w:val="0019079C"/>
    <w:rsid w:val="00190C80"/>
    <w:rsid w:val="0019118F"/>
    <w:rsid w:val="001916C2"/>
    <w:rsid w:val="00191C1A"/>
    <w:rsid w:val="00191FB8"/>
    <w:rsid w:val="00192137"/>
    <w:rsid w:val="00192561"/>
    <w:rsid w:val="00192761"/>
    <w:rsid w:val="00192834"/>
    <w:rsid w:val="00192A8E"/>
    <w:rsid w:val="00192D37"/>
    <w:rsid w:val="001932FE"/>
    <w:rsid w:val="00193662"/>
    <w:rsid w:val="00193A32"/>
    <w:rsid w:val="00193A9B"/>
    <w:rsid w:val="00193ADE"/>
    <w:rsid w:val="00193E89"/>
    <w:rsid w:val="001942B2"/>
    <w:rsid w:val="00194721"/>
    <w:rsid w:val="00194A03"/>
    <w:rsid w:val="00194AA7"/>
    <w:rsid w:val="00194D09"/>
    <w:rsid w:val="001951C2"/>
    <w:rsid w:val="00196329"/>
    <w:rsid w:val="001964DC"/>
    <w:rsid w:val="0019667C"/>
    <w:rsid w:val="00196BA4"/>
    <w:rsid w:val="00196C8B"/>
    <w:rsid w:val="001970B8"/>
    <w:rsid w:val="00197174"/>
    <w:rsid w:val="00197223"/>
    <w:rsid w:val="0019747A"/>
    <w:rsid w:val="00197703"/>
    <w:rsid w:val="00197814"/>
    <w:rsid w:val="00197E84"/>
    <w:rsid w:val="001A0010"/>
    <w:rsid w:val="001A0E72"/>
    <w:rsid w:val="001A12D3"/>
    <w:rsid w:val="001A158D"/>
    <w:rsid w:val="001A17A1"/>
    <w:rsid w:val="001A18E9"/>
    <w:rsid w:val="001A1905"/>
    <w:rsid w:val="001A1A04"/>
    <w:rsid w:val="001A2429"/>
    <w:rsid w:val="001A2F91"/>
    <w:rsid w:val="001A35DF"/>
    <w:rsid w:val="001A367F"/>
    <w:rsid w:val="001A3E8E"/>
    <w:rsid w:val="001A4190"/>
    <w:rsid w:val="001A4847"/>
    <w:rsid w:val="001A4FC8"/>
    <w:rsid w:val="001A52D5"/>
    <w:rsid w:val="001A53BE"/>
    <w:rsid w:val="001A5469"/>
    <w:rsid w:val="001A67D3"/>
    <w:rsid w:val="001A688F"/>
    <w:rsid w:val="001A6C56"/>
    <w:rsid w:val="001A73B9"/>
    <w:rsid w:val="001A7428"/>
    <w:rsid w:val="001A75AD"/>
    <w:rsid w:val="001A7601"/>
    <w:rsid w:val="001A77AE"/>
    <w:rsid w:val="001A782E"/>
    <w:rsid w:val="001A7AB1"/>
    <w:rsid w:val="001A7C12"/>
    <w:rsid w:val="001A7F6B"/>
    <w:rsid w:val="001B0023"/>
    <w:rsid w:val="001B044C"/>
    <w:rsid w:val="001B051B"/>
    <w:rsid w:val="001B0A43"/>
    <w:rsid w:val="001B17F4"/>
    <w:rsid w:val="001B19F1"/>
    <w:rsid w:val="001B1CFB"/>
    <w:rsid w:val="001B204C"/>
    <w:rsid w:val="001B2062"/>
    <w:rsid w:val="001B2293"/>
    <w:rsid w:val="001B2850"/>
    <w:rsid w:val="001B2870"/>
    <w:rsid w:val="001B2888"/>
    <w:rsid w:val="001B3C32"/>
    <w:rsid w:val="001B3CDD"/>
    <w:rsid w:val="001B4018"/>
    <w:rsid w:val="001B41D2"/>
    <w:rsid w:val="001B41DB"/>
    <w:rsid w:val="001B4490"/>
    <w:rsid w:val="001B4808"/>
    <w:rsid w:val="001B4CF3"/>
    <w:rsid w:val="001B5346"/>
    <w:rsid w:val="001B547E"/>
    <w:rsid w:val="001B54AD"/>
    <w:rsid w:val="001B5E01"/>
    <w:rsid w:val="001B628E"/>
    <w:rsid w:val="001B68B6"/>
    <w:rsid w:val="001B693C"/>
    <w:rsid w:val="001B70B2"/>
    <w:rsid w:val="001B75F2"/>
    <w:rsid w:val="001B7925"/>
    <w:rsid w:val="001B7B75"/>
    <w:rsid w:val="001B7F0D"/>
    <w:rsid w:val="001C0272"/>
    <w:rsid w:val="001C051D"/>
    <w:rsid w:val="001C0948"/>
    <w:rsid w:val="001C0BE4"/>
    <w:rsid w:val="001C0C5B"/>
    <w:rsid w:val="001C0D5D"/>
    <w:rsid w:val="001C0F24"/>
    <w:rsid w:val="001C0F5F"/>
    <w:rsid w:val="001C137C"/>
    <w:rsid w:val="001C1BEE"/>
    <w:rsid w:val="001C1FCD"/>
    <w:rsid w:val="001C2AA1"/>
    <w:rsid w:val="001C2C4F"/>
    <w:rsid w:val="001C2F05"/>
    <w:rsid w:val="001C3877"/>
    <w:rsid w:val="001C3B48"/>
    <w:rsid w:val="001C4713"/>
    <w:rsid w:val="001C4956"/>
    <w:rsid w:val="001C4D3D"/>
    <w:rsid w:val="001C50C3"/>
    <w:rsid w:val="001C5330"/>
    <w:rsid w:val="001C537A"/>
    <w:rsid w:val="001C56A1"/>
    <w:rsid w:val="001C604E"/>
    <w:rsid w:val="001C6C65"/>
    <w:rsid w:val="001C6ED3"/>
    <w:rsid w:val="001C701A"/>
    <w:rsid w:val="001C7448"/>
    <w:rsid w:val="001C7A72"/>
    <w:rsid w:val="001D04AE"/>
    <w:rsid w:val="001D0D29"/>
    <w:rsid w:val="001D1336"/>
    <w:rsid w:val="001D19CD"/>
    <w:rsid w:val="001D1A69"/>
    <w:rsid w:val="001D2813"/>
    <w:rsid w:val="001D282C"/>
    <w:rsid w:val="001D2B87"/>
    <w:rsid w:val="001D2EDE"/>
    <w:rsid w:val="001D2FB1"/>
    <w:rsid w:val="001D325F"/>
    <w:rsid w:val="001D32E3"/>
    <w:rsid w:val="001D3733"/>
    <w:rsid w:val="001D37FD"/>
    <w:rsid w:val="001D3CCE"/>
    <w:rsid w:val="001D3F32"/>
    <w:rsid w:val="001D4464"/>
    <w:rsid w:val="001D4585"/>
    <w:rsid w:val="001D4593"/>
    <w:rsid w:val="001D4649"/>
    <w:rsid w:val="001D4854"/>
    <w:rsid w:val="001D4B25"/>
    <w:rsid w:val="001D4D29"/>
    <w:rsid w:val="001D4E48"/>
    <w:rsid w:val="001D4EF1"/>
    <w:rsid w:val="001D4F45"/>
    <w:rsid w:val="001D537C"/>
    <w:rsid w:val="001D5396"/>
    <w:rsid w:val="001D584E"/>
    <w:rsid w:val="001D5E3E"/>
    <w:rsid w:val="001D5E67"/>
    <w:rsid w:val="001D5E92"/>
    <w:rsid w:val="001D61D1"/>
    <w:rsid w:val="001D6457"/>
    <w:rsid w:val="001D6E3A"/>
    <w:rsid w:val="001D73F8"/>
    <w:rsid w:val="001D75BD"/>
    <w:rsid w:val="001D7A64"/>
    <w:rsid w:val="001D7E7B"/>
    <w:rsid w:val="001E0162"/>
    <w:rsid w:val="001E02F7"/>
    <w:rsid w:val="001E084A"/>
    <w:rsid w:val="001E0D5F"/>
    <w:rsid w:val="001E0DDB"/>
    <w:rsid w:val="001E0E8C"/>
    <w:rsid w:val="001E0F89"/>
    <w:rsid w:val="001E1933"/>
    <w:rsid w:val="001E1A6A"/>
    <w:rsid w:val="001E21CF"/>
    <w:rsid w:val="001E2426"/>
    <w:rsid w:val="001E2B20"/>
    <w:rsid w:val="001E2E42"/>
    <w:rsid w:val="001E3028"/>
    <w:rsid w:val="001E33D2"/>
    <w:rsid w:val="001E3625"/>
    <w:rsid w:val="001E374C"/>
    <w:rsid w:val="001E3FCA"/>
    <w:rsid w:val="001E42BC"/>
    <w:rsid w:val="001E42BE"/>
    <w:rsid w:val="001E4711"/>
    <w:rsid w:val="001E4F59"/>
    <w:rsid w:val="001E55A8"/>
    <w:rsid w:val="001E57CE"/>
    <w:rsid w:val="001E5B94"/>
    <w:rsid w:val="001E5BA5"/>
    <w:rsid w:val="001E5D51"/>
    <w:rsid w:val="001E5D6A"/>
    <w:rsid w:val="001E5D90"/>
    <w:rsid w:val="001E5E59"/>
    <w:rsid w:val="001E5FD0"/>
    <w:rsid w:val="001E6ABC"/>
    <w:rsid w:val="001E6C12"/>
    <w:rsid w:val="001E6D7C"/>
    <w:rsid w:val="001E6F16"/>
    <w:rsid w:val="001E7439"/>
    <w:rsid w:val="001E7525"/>
    <w:rsid w:val="001E759D"/>
    <w:rsid w:val="001E7688"/>
    <w:rsid w:val="001E7EA2"/>
    <w:rsid w:val="001F03CD"/>
    <w:rsid w:val="001F1035"/>
    <w:rsid w:val="001F18CB"/>
    <w:rsid w:val="001F1A52"/>
    <w:rsid w:val="001F1BE7"/>
    <w:rsid w:val="001F1D53"/>
    <w:rsid w:val="001F1EBD"/>
    <w:rsid w:val="001F24D8"/>
    <w:rsid w:val="001F2BFE"/>
    <w:rsid w:val="001F2CE9"/>
    <w:rsid w:val="001F3160"/>
    <w:rsid w:val="001F3986"/>
    <w:rsid w:val="001F3BFA"/>
    <w:rsid w:val="001F3C8F"/>
    <w:rsid w:val="001F4B04"/>
    <w:rsid w:val="001F5043"/>
    <w:rsid w:val="001F53C3"/>
    <w:rsid w:val="001F5446"/>
    <w:rsid w:val="001F5B3E"/>
    <w:rsid w:val="001F5BDA"/>
    <w:rsid w:val="001F5DFE"/>
    <w:rsid w:val="001F643B"/>
    <w:rsid w:val="001F6692"/>
    <w:rsid w:val="001F6BCC"/>
    <w:rsid w:val="001F6F11"/>
    <w:rsid w:val="001F6FC9"/>
    <w:rsid w:val="001F75B1"/>
    <w:rsid w:val="001F7660"/>
    <w:rsid w:val="002001B3"/>
    <w:rsid w:val="002005CB"/>
    <w:rsid w:val="002013EB"/>
    <w:rsid w:val="00201900"/>
    <w:rsid w:val="0020194D"/>
    <w:rsid w:val="00202488"/>
    <w:rsid w:val="00202C36"/>
    <w:rsid w:val="0020314C"/>
    <w:rsid w:val="00203718"/>
    <w:rsid w:val="002037EF"/>
    <w:rsid w:val="002038BC"/>
    <w:rsid w:val="00203DAE"/>
    <w:rsid w:val="0020417B"/>
    <w:rsid w:val="00204617"/>
    <w:rsid w:val="00204695"/>
    <w:rsid w:val="002047AA"/>
    <w:rsid w:val="002049A9"/>
    <w:rsid w:val="00204A89"/>
    <w:rsid w:val="00204B3F"/>
    <w:rsid w:val="00205486"/>
    <w:rsid w:val="00205B3E"/>
    <w:rsid w:val="00205C5A"/>
    <w:rsid w:val="00205E34"/>
    <w:rsid w:val="0020615A"/>
    <w:rsid w:val="002062F4"/>
    <w:rsid w:val="002064C0"/>
    <w:rsid w:val="002065C2"/>
    <w:rsid w:val="002065D3"/>
    <w:rsid w:val="0020683B"/>
    <w:rsid w:val="00206A0E"/>
    <w:rsid w:val="00206B16"/>
    <w:rsid w:val="002070B9"/>
    <w:rsid w:val="002072A7"/>
    <w:rsid w:val="00207396"/>
    <w:rsid w:val="0020789D"/>
    <w:rsid w:val="002079BB"/>
    <w:rsid w:val="00207CB6"/>
    <w:rsid w:val="00207CE0"/>
    <w:rsid w:val="00210061"/>
    <w:rsid w:val="00210B53"/>
    <w:rsid w:val="00210B7D"/>
    <w:rsid w:val="00210CE6"/>
    <w:rsid w:val="00211202"/>
    <w:rsid w:val="00211239"/>
    <w:rsid w:val="00211431"/>
    <w:rsid w:val="002123DC"/>
    <w:rsid w:val="0021277D"/>
    <w:rsid w:val="00212830"/>
    <w:rsid w:val="00212846"/>
    <w:rsid w:val="00212B34"/>
    <w:rsid w:val="00213022"/>
    <w:rsid w:val="002130EB"/>
    <w:rsid w:val="00213975"/>
    <w:rsid w:val="00213E6A"/>
    <w:rsid w:val="0021400F"/>
    <w:rsid w:val="00214296"/>
    <w:rsid w:val="002158D4"/>
    <w:rsid w:val="00215CC5"/>
    <w:rsid w:val="00216350"/>
    <w:rsid w:val="00216932"/>
    <w:rsid w:val="00216971"/>
    <w:rsid w:val="00216A04"/>
    <w:rsid w:val="002170CC"/>
    <w:rsid w:val="00217FC2"/>
    <w:rsid w:val="002200CA"/>
    <w:rsid w:val="002201C3"/>
    <w:rsid w:val="002203A6"/>
    <w:rsid w:val="002209E7"/>
    <w:rsid w:val="00220B3C"/>
    <w:rsid w:val="00220C95"/>
    <w:rsid w:val="00220D64"/>
    <w:rsid w:val="00220FC2"/>
    <w:rsid w:val="002215D0"/>
    <w:rsid w:val="00221C07"/>
    <w:rsid w:val="00221EA9"/>
    <w:rsid w:val="002220F1"/>
    <w:rsid w:val="00222652"/>
    <w:rsid w:val="00222973"/>
    <w:rsid w:val="002231D6"/>
    <w:rsid w:val="0022330B"/>
    <w:rsid w:val="002237DC"/>
    <w:rsid w:val="00223B22"/>
    <w:rsid w:val="00223E3E"/>
    <w:rsid w:val="00223E44"/>
    <w:rsid w:val="00224419"/>
    <w:rsid w:val="00224634"/>
    <w:rsid w:val="00224AEA"/>
    <w:rsid w:val="00224E5D"/>
    <w:rsid w:val="00224FE9"/>
    <w:rsid w:val="002250FC"/>
    <w:rsid w:val="00225672"/>
    <w:rsid w:val="00225A32"/>
    <w:rsid w:val="00225B71"/>
    <w:rsid w:val="00226C2A"/>
    <w:rsid w:val="00226CBE"/>
    <w:rsid w:val="002276E2"/>
    <w:rsid w:val="002278BF"/>
    <w:rsid w:val="00227A85"/>
    <w:rsid w:val="00227E33"/>
    <w:rsid w:val="00227E44"/>
    <w:rsid w:val="00230065"/>
    <w:rsid w:val="002300AC"/>
    <w:rsid w:val="0023013C"/>
    <w:rsid w:val="002303F5"/>
    <w:rsid w:val="00230407"/>
    <w:rsid w:val="00230506"/>
    <w:rsid w:val="002309D1"/>
    <w:rsid w:val="002309F4"/>
    <w:rsid w:val="00230DD4"/>
    <w:rsid w:val="00230F2C"/>
    <w:rsid w:val="00231031"/>
    <w:rsid w:val="002311B9"/>
    <w:rsid w:val="002312EC"/>
    <w:rsid w:val="002318A3"/>
    <w:rsid w:val="002319B1"/>
    <w:rsid w:val="00231C24"/>
    <w:rsid w:val="00232039"/>
    <w:rsid w:val="00232AEC"/>
    <w:rsid w:val="00232E8F"/>
    <w:rsid w:val="0023330B"/>
    <w:rsid w:val="002339C3"/>
    <w:rsid w:val="00233A52"/>
    <w:rsid w:val="00233A6F"/>
    <w:rsid w:val="00233D04"/>
    <w:rsid w:val="00234082"/>
    <w:rsid w:val="0023474F"/>
    <w:rsid w:val="00234AA2"/>
    <w:rsid w:val="00234AB6"/>
    <w:rsid w:val="00235186"/>
    <w:rsid w:val="0023538F"/>
    <w:rsid w:val="00235CED"/>
    <w:rsid w:val="00235DCE"/>
    <w:rsid w:val="00235DEA"/>
    <w:rsid w:val="0023609A"/>
    <w:rsid w:val="0023620E"/>
    <w:rsid w:val="002362BC"/>
    <w:rsid w:val="0023698F"/>
    <w:rsid w:val="00236B5E"/>
    <w:rsid w:val="00236BD3"/>
    <w:rsid w:val="00237429"/>
    <w:rsid w:val="00237A96"/>
    <w:rsid w:val="00237C21"/>
    <w:rsid w:val="00237DDF"/>
    <w:rsid w:val="00240188"/>
    <w:rsid w:val="002406A6"/>
    <w:rsid w:val="002408BA"/>
    <w:rsid w:val="00240E46"/>
    <w:rsid w:val="00241F86"/>
    <w:rsid w:val="00242042"/>
    <w:rsid w:val="0024222F"/>
    <w:rsid w:val="0024260C"/>
    <w:rsid w:val="00242A44"/>
    <w:rsid w:val="00242AA5"/>
    <w:rsid w:val="002435AB"/>
    <w:rsid w:val="002436F2"/>
    <w:rsid w:val="002437D4"/>
    <w:rsid w:val="002438A4"/>
    <w:rsid w:val="0024405A"/>
    <w:rsid w:val="002444FF"/>
    <w:rsid w:val="00244A39"/>
    <w:rsid w:val="00244B00"/>
    <w:rsid w:val="00244D01"/>
    <w:rsid w:val="0024584C"/>
    <w:rsid w:val="00245D0A"/>
    <w:rsid w:val="00245E4E"/>
    <w:rsid w:val="00246058"/>
    <w:rsid w:val="002460A3"/>
    <w:rsid w:val="00246609"/>
    <w:rsid w:val="0024680B"/>
    <w:rsid w:val="00246A04"/>
    <w:rsid w:val="00246D6A"/>
    <w:rsid w:val="00247271"/>
    <w:rsid w:val="0025003E"/>
    <w:rsid w:val="00250056"/>
    <w:rsid w:val="002500F6"/>
    <w:rsid w:val="0025013B"/>
    <w:rsid w:val="002501F4"/>
    <w:rsid w:val="002502CA"/>
    <w:rsid w:val="002505D4"/>
    <w:rsid w:val="002507EB"/>
    <w:rsid w:val="00250CB6"/>
    <w:rsid w:val="002517C2"/>
    <w:rsid w:val="00251C06"/>
    <w:rsid w:val="00251FB5"/>
    <w:rsid w:val="0025271D"/>
    <w:rsid w:val="00252A6B"/>
    <w:rsid w:val="00252C2B"/>
    <w:rsid w:val="002534D5"/>
    <w:rsid w:val="00253652"/>
    <w:rsid w:val="00253743"/>
    <w:rsid w:val="00253B3E"/>
    <w:rsid w:val="00254021"/>
    <w:rsid w:val="00254574"/>
    <w:rsid w:val="00254A08"/>
    <w:rsid w:val="00254E90"/>
    <w:rsid w:val="0025538B"/>
    <w:rsid w:val="00255499"/>
    <w:rsid w:val="00255571"/>
    <w:rsid w:val="00255636"/>
    <w:rsid w:val="002563C6"/>
    <w:rsid w:val="00256FE2"/>
    <w:rsid w:val="0025703B"/>
    <w:rsid w:val="0025710E"/>
    <w:rsid w:val="00257268"/>
    <w:rsid w:val="00257269"/>
    <w:rsid w:val="002578DB"/>
    <w:rsid w:val="00257A34"/>
    <w:rsid w:val="00257A54"/>
    <w:rsid w:val="00257A7E"/>
    <w:rsid w:val="00257BD2"/>
    <w:rsid w:val="00257F15"/>
    <w:rsid w:val="002600E0"/>
    <w:rsid w:val="0026036A"/>
    <w:rsid w:val="00260502"/>
    <w:rsid w:val="00261A40"/>
    <w:rsid w:val="00261DB5"/>
    <w:rsid w:val="00261F90"/>
    <w:rsid w:val="00261F92"/>
    <w:rsid w:val="002620ED"/>
    <w:rsid w:val="00263052"/>
    <w:rsid w:val="00263219"/>
    <w:rsid w:val="002632F3"/>
    <w:rsid w:val="002637B7"/>
    <w:rsid w:val="0026391E"/>
    <w:rsid w:val="00263A03"/>
    <w:rsid w:val="002645EC"/>
    <w:rsid w:val="002648A1"/>
    <w:rsid w:val="0026493B"/>
    <w:rsid w:val="00264B38"/>
    <w:rsid w:val="00264D60"/>
    <w:rsid w:val="00264E2E"/>
    <w:rsid w:val="0026514D"/>
    <w:rsid w:val="00265A5D"/>
    <w:rsid w:val="00265B14"/>
    <w:rsid w:val="00265C14"/>
    <w:rsid w:val="00265D38"/>
    <w:rsid w:val="00265D69"/>
    <w:rsid w:val="00265FEE"/>
    <w:rsid w:val="00266777"/>
    <w:rsid w:val="00266DAE"/>
    <w:rsid w:val="002679B7"/>
    <w:rsid w:val="00267DC7"/>
    <w:rsid w:val="00270662"/>
    <w:rsid w:val="00270FAE"/>
    <w:rsid w:val="0027142C"/>
    <w:rsid w:val="00271A0F"/>
    <w:rsid w:val="00271D0D"/>
    <w:rsid w:val="0027207F"/>
    <w:rsid w:val="0027278F"/>
    <w:rsid w:val="00272842"/>
    <w:rsid w:val="00272F71"/>
    <w:rsid w:val="0027301A"/>
    <w:rsid w:val="00273354"/>
    <w:rsid w:val="002737B2"/>
    <w:rsid w:val="00273EB6"/>
    <w:rsid w:val="002744B7"/>
    <w:rsid w:val="00274B9D"/>
    <w:rsid w:val="00274C31"/>
    <w:rsid w:val="00274E4B"/>
    <w:rsid w:val="00274EE0"/>
    <w:rsid w:val="00275226"/>
    <w:rsid w:val="0027563A"/>
    <w:rsid w:val="00275F5F"/>
    <w:rsid w:val="00275FC2"/>
    <w:rsid w:val="002762E7"/>
    <w:rsid w:val="00276482"/>
    <w:rsid w:val="00276578"/>
    <w:rsid w:val="0027662D"/>
    <w:rsid w:val="00276D50"/>
    <w:rsid w:val="00277098"/>
    <w:rsid w:val="0027716A"/>
    <w:rsid w:val="002771DF"/>
    <w:rsid w:val="0027732F"/>
    <w:rsid w:val="00277F06"/>
    <w:rsid w:val="002800D8"/>
    <w:rsid w:val="002801B0"/>
    <w:rsid w:val="002810D4"/>
    <w:rsid w:val="00281195"/>
    <w:rsid w:val="002820F5"/>
    <w:rsid w:val="00282AA6"/>
    <w:rsid w:val="00282B12"/>
    <w:rsid w:val="00283185"/>
    <w:rsid w:val="002831E3"/>
    <w:rsid w:val="00283486"/>
    <w:rsid w:val="002834CE"/>
    <w:rsid w:val="002835A3"/>
    <w:rsid w:val="002839E8"/>
    <w:rsid w:val="00283A48"/>
    <w:rsid w:val="00283C89"/>
    <w:rsid w:val="00283FD2"/>
    <w:rsid w:val="0028459A"/>
    <w:rsid w:val="00284888"/>
    <w:rsid w:val="00285345"/>
    <w:rsid w:val="002854EE"/>
    <w:rsid w:val="00285657"/>
    <w:rsid w:val="00285D99"/>
    <w:rsid w:val="0028644C"/>
    <w:rsid w:val="002868B6"/>
    <w:rsid w:val="002869B6"/>
    <w:rsid w:val="002872BF"/>
    <w:rsid w:val="00287504"/>
    <w:rsid w:val="00287A87"/>
    <w:rsid w:val="00287B99"/>
    <w:rsid w:val="00287BBB"/>
    <w:rsid w:val="00290BBA"/>
    <w:rsid w:val="00290BFB"/>
    <w:rsid w:val="00290E7D"/>
    <w:rsid w:val="00290EEF"/>
    <w:rsid w:val="00290FFA"/>
    <w:rsid w:val="00291057"/>
    <w:rsid w:val="002911C0"/>
    <w:rsid w:val="002911F8"/>
    <w:rsid w:val="00291332"/>
    <w:rsid w:val="00291728"/>
    <w:rsid w:val="00291C20"/>
    <w:rsid w:val="002920CB"/>
    <w:rsid w:val="0029210F"/>
    <w:rsid w:val="0029270C"/>
    <w:rsid w:val="00292D21"/>
    <w:rsid w:val="00293760"/>
    <w:rsid w:val="002944AE"/>
    <w:rsid w:val="0029478C"/>
    <w:rsid w:val="002951B2"/>
    <w:rsid w:val="00295316"/>
    <w:rsid w:val="002956CD"/>
    <w:rsid w:val="0029594F"/>
    <w:rsid w:val="0029597F"/>
    <w:rsid w:val="00295986"/>
    <w:rsid w:val="00295ACF"/>
    <w:rsid w:val="00295E2C"/>
    <w:rsid w:val="002960F4"/>
    <w:rsid w:val="00296414"/>
    <w:rsid w:val="0029675D"/>
    <w:rsid w:val="00296CF8"/>
    <w:rsid w:val="002973DE"/>
    <w:rsid w:val="0029766F"/>
    <w:rsid w:val="002979C8"/>
    <w:rsid w:val="002A0454"/>
    <w:rsid w:val="002A099E"/>
    <w:rsid w:val="002A0D07"/>
    <w:rsid w:val="002A0D4B"/>
    <w:rsid w:val="002A0F34"/>
    <w:rsid w:val="002A12BA"/>
    <w:rsid w:val="002A14F5"/>
    <w:rsid w:val="002A1522"/>
    <w:rsid w:val="002A1969"/>
    <w:rsid w:val="002A1BEC"/>
    <w:rsid w:val="002A1D2E"/>
    <w:rsid w:val="002A1D78"/>
    <w:rsid w:val="002A2262"/>
    <w:rsid w:val="002A3283"/>
    <w:rsid w:val="002A33F7"/>
    <w:rsid w:val="002A3C83"/>
    <w:rsid w:val="002A3FC0"/>
    <w:rsid w:val="002A44C7"/>
    <w:rsid w:val="002A4A3E"/>
    <w:rsid w:val="002A4DDC"/>
    <w:rsid w:val="002A4E9E"/>
    <w:rsid w:val="002A4F5C"/>
    <w:rsid w:val="002A602F"/>
    <w:rsid w:val="002A6072"/>
    <w:rsid w:val="002A656B"/>
    <w:rsid w:val="002A65C3"/>
    <w:rsid w:val="002A69E1"/>
    <w:rsid w:val="002A6A69"/>
    <w:rsid w:val="002A7094"/>
    <w:rsid w:val="002A74FF"/>
    <w:rsid w:val="002A7670"/>
    <w:rsid w:val="002B038A"/>
    <w:rsid w:val="002B03AB"/>
    <w:rsid w:val="002B0C28"/>
    <w:rsid w:val="002B0DF0"/>
    <w:rsid w:val="002B0F38"/>
    <w:rsid w:val="002B144C"/>
    <w:rsid w:val="002B1472"/>
    <w:rsid w:val="002B179B"/>
    <w:rsid w:val="002B1828"/>
    <w:rsid w:val="002B1BB5"/>
    <w:rsid w:val="002B1C34"/>
    <w:rsid w:val="002B1DA8"/>
    <w:rsid w:val="002B21E9"/>
    <w:rsid w:val="002B2D28"/>
    <w:rsid w:val="002B33AE"/>
    <w:rsid w:val="002B3504"/>
    <w:rsid w:val="002B3ACF"/>
    <w:rsid w:val="002B3E69"/>
    <w:rsid w:val="002B3ECA"/>
    <w:rsid w:val="002B4775"/>
    <w:rsid w:val="002B49B4"/>
    <w:rsid w:val="002B4F4A"/>
    <w:rsid w:val="002B508F"/>
    <w:rsid w:val="002B5633"/>
    <w:rsid w:val="002B567C"/>
    <w:rsid w:val="002B5C15"/>
    <w:rsid w:val="002B5DFD"/>
    <w:rsid w:val="002B60D3"/>
    <w:rsid w:val="002B612D"/>
    <w:rsid w:val="002B64E3"/>
    <w:rsid w:val="002B680D"/>
    <w:rsid w:val="002B6844"/>
    <w:rsid w:val="002B6CA1"/>
    <w:rsid w:val="002B70C8"/>
    <w:rsid w:val="002B7353"/>
    <w:rsid w:val="002B73B7"/>
    <w:rsid w:val="002B7584"/>
    <w:rsid w:val="002B75D1"/>
    <w:rsid w:val="002B75E0"/>
    <w:rsid w:val="002B765C"/>
    <w:rsid w:val="002B7D52"/>
    <w:rsid w:val="002C0210"/>
    <w:rsid w:val="002C0363"/>
    <w:rsid w:val="002C0A68"/>
    <w:rsid w:val="002C128A"/>
    <w:rsid w:val="002C12D4"/>
    <w:rsid w:val="002C175D"/>
    <w:rsid w:val="002C19AE"/>
    <w:rsid w:val="002C1DE5"/>
    <w:rsid w:val="002C1EF3"/>
    <w:rsid w:val="002C217C"/>
    <w:rsid w:val="002C2B67"/>
    <w:rsid w:val="002C2BBB"/>
    <w:rsid w:val="002C2F0C"/>
    <w:rsid w:val="002C317B"/>
    <w:rsid w:val="002C370D"/>
    <w:rsid w:val="002C3C87"/>
    <w:rsid w:val="002C3D36"/>
    <w:rsid w:val="002C3DE9"/>
    <w:rsid w:val="002C401C"/>
    <w:rsid w:val="002C4160"/>
    <w:rsid w:val="002C4665"/>
    <w:rsid w:val="002C5707"/>
    <w:rsid w:val="002C5CE4"/>
    <w:rsid w:val="002C608E"/>
    <w:rsid w:val="002C641B"/>
    <w:rsid w:val="002C6552"/>
    <w:rsid w:val="002C6BA1"/>
    <w:rsid w:val="002C6D76"/>
    <w:rsid w:val="002C749C"/>
    <w:rsid w:val="002C77EC"/>
    <w:rsid w:val="002C7EB5"/>
    <w:rsid w:val="002C7ECF"/>
    <w:rsid w:val="002D04AC"/>
    <w:rsid w:val="002D07B3"/>
    <w:rsid w:val="002D19E5"/>
    <w:rsid w:val="002D1D0C"/>
    <w:rsid w:val="002D1D5E"/>
    <w:rsid w:val="002D2205"/>
    <w:rsid w:val="002D2438"/>
    <w:rsid w:val="002D267F"/>
    <w:rsid w:val="002D3A11"/>
    <w:rsid w:val="002D3E88"/>
    <w:rsid w:val="002D3FC5"/>
    <w:rsid w:val="002D4117"/>
    <w:rsid w:val="002D42B1"/>
    <w:rsid w:val="002D4407"/>
    <w:rsid w:val="002D4548"/>
    <w:rsid w:val="002D462E"/>
    <w:rsid w:val="002D4F6A"/>
    <w:rsid w:val="002D519D"/>
    <w:rsid w:val="002D5638"/>
    <w:rsid w:val="002D5929"/>
    <w:rsid w:val="002D6080"/>
    <w:rsid w:val="002D63F6"/>
    <w:rsid w:val="002D641F"/>
    <w:rsid w:val="002D6651"/>
    <w:rsid w:val="002D6673"/>
    <w:rsid w:val="002D6D73"/>
    <w:rsid w:val="002D6DD2"/>
    <w:rsid w:val="002D6F7C"/>
    <w:rsid w:val="002D7054"/>
    <w:rsid w:val="002D7130"/>
    <w:rsid w:val="002D7172"/>
    <w:rsid w:val="002D79C1"/>
    <w:rsid w:val="002E0110"/>
    <w:rsid w:val="002E0794"/>
    <w:rsid w:val="002E0A4B"/>
    <w:rsid w:val="002E0A94"/>
    <w:rsid w:val="002E0BD9"/>
    <w:rsid w:val="002E1478"/>
    <w:rsid w:val="002E191F"/>
    <w:rsid w:val="002E1950"/>
    <w:rsid w:val="002E1F05"/>
    <w:rsid w:val="002E25CB"/>
    <w:rsid w:val="002E28E3"/>
    <w:rsid w:val="002E2BF0"/>
    <w:rsid w:val="002E2EB8"/>
    <w:rsid w:val="002E342D"/>
    <w:rsid w:val="002E3618"/>
    <w:rsid w:val="002E4042"/>
    <w:rsid w:val="002E41C4"/>
    <w:rsid w:val="002E45E8"/>
    <w:rsid w:val="002E481F"/>
    <w:rsid w:val="002E4E57"/>
    <w:rsid w:val="002E4F9F"/>
    <w:rsid w:val="002E50A0"/>
    <w:rsid w:val="002E5189"/>
    <w:rsid w:val="002E5461"/>
    <w:rsid w:val="002E5805"/>
    <w:rsid w:val="002E592A"/>
    <w:rsid w:val="002E606B"/>
    <w:rsid w:val="002E6365"/>
    <w:rsid w:val="002E665B"/>
    <w:rsid w:val="002E6B3D"/>
    <w:rsid w:val="002E75A5"/>
    <w:rsid w:val="002E764A"/>
    <w:rsid w:val="002E7762"/>
    <w:rsid w:val="002E79E6"/>
    <w:rsid w:val="002F09CC"/>
    <w:rsid w:val="002F0E90"/>
    <w:rsid w:val="002F18E7"/>
    <w:rsid w:val="002F1B3A"/>
    <w:rsid w:val="002F280F"/>
    <w:rsid w:val="002F29E2"/>
    <w:rsid w:val="002F2A59"/>
    <w:rsid w:val="002F2B5B"/>
    <w:rsid w:val="002F2F02"/>
    <w:rsid w:val="002F3127"/>
    <w:rsid w:val="002F32BE"/>
    <w:rsid w:val="002F3553"/>
    <w:rsid w:val="002F3573"/>
    <w:rsid w:val="002F3613"/>
    <w:rsid w:val="002F3B25"/>
    <w:rsid w:val="002F420A"/>
    <w:rsid w:val="002F4504"/>
    <w:rsid w:val="002F45A4"/>
    <w:rsid w:val="002F4B8C"/>
    <w:rsid w:val="002F51DD"/>
    <w:rsid w:val="002F5940"/>
    <w:rsid w:val="002F5EC6"/>
    <w:rsid w:val="002F6569"/>
    <w:rsid w:val="002F676F"/>
    <w:rsid w:val="002F68F4"/>
    <w:rsid w:val="002F6A56"/>
    <w:rsid w:val="002F6BB2"/>
    <w:rsid w:val="002F6D13"/>
    <w:rsid w:val="002F7671"/>
    <w:rsid w:val="002F788B"/>
    <w:rsid w:val="002F7924"/>
    <w:rsid w:val="002F7A47"/>
    <w:rsid w:val="002F7D40"/>
    <w:rsid w:val="0030017C"/>
    <w:rsid w:val="003001FE"/>
    <w:rsid w:val="00300844"/>
    <w:rsid w:val="00300BD5"/>
    <w:rsid w:val="00300CF7"/>
    <w:rsid w:val="003010B9"/>
    <w:rsid w:val="0030158E"/>
    <w:rsid w:val="00301DE2"/>
    <w:rsid w:val="0030204C"/>
    <w:rsid w:val="00302098"/>
    <w:rsid w:val="0030210D"/>
    <w:rsid w:val="003022E1"/>
    <w:rsid w:val="0030298F"/>
    <w:rsid w:val="00302CCF"/>
    <w:rsid w:val="0030396B"/>
    <w:rsid w:val="003040FF"/>
    <w:rsid w:val="0030414B"/>
    <w:rsid w:val="0030437C"/>
    <w:rsid w:val="0030488A"/>
    <w:rsid w:val="00304DA5"/>
    <w:rsid w:val="00304EB3"/>
    <w:rsid w:val="003059C8"/>
    <w:rsid w:val="00305B30"/>
    <w:rsid w:val="00305B32"/>
    <w:rsid w:val="003061C3"/>
    <w:rsid w:val="00306381"/>
    <w:rsid w:val="0030680D"/>
    <w:rsid w:val="00306919"/>
    <w:rsid w:val="00306BA0"/>
    <w:rsid w:val="00306C8D"/>
    <w:rsid w:val="00306CBC"/>
    <w:rsid w:val="00307251"/>
    <w:rsid w:val="003076E1"/>
    <w:rsid w:val="003107C6"/>
    <w:rsid w:val="00310BED"/>
    <w:rsid w:val="00310DA5"/>
    <w:rsid w:val="0031104B"/>
    <w:rsid w:val="003110BD"/>
    <w:rsid w:val="00311281"/>
    <w:rsid w:val="003112BE"/>
    <w:rsid w:val="003114C1"/>
    <w:rsid w:val="00311A5B"/>
    <w:rsid w:val="0031213B"/>
    <w:rsid w:val="003122C9"/>
    <w:rsid w:val="003123B6"/>
    <w:rsid w:val="003128E6"/>
    <w:rsid w:val="00312EF0"/>
    <w:rsid w:val="00313591"/>
    <w:rsid w:val="003138B5"/>
    <w:rsid w:val="00313BAA"/>
    <w:rsid w:val="003142DA"/>
    <w:rsid w:val="003143AD"/>
    <w:rsid w:val="003144AC"/>
    <w:rsid w:val="0031497B"/>
    <w:rsid w:val="0031593D"/>
    <w:rsid w:val="00315A46"/>
    <w:rsid w:val="00315A65"/>
    <w:rsid w:val="00315CC7"/>
    <w:rsid w:val="0031647C"/>
    <w:rsid w:val="003166DC"/>
    <w:rsid w:val="003178D4"/>
    <w:rsid w:val="00320214"/>
    <w:rsid w:val="003204E6"/>
    <w:rsid w:val="003205C5"/>
    <w:rsid w:val="00320668"/>
    <w:rsid w:val="003206C6"/>
    <w:rsid w:val="00321319"/>
    <w:rsid w:val="0032162E"/>
    <w:rsid w:val="00321A02"/>
    <w:rsid w:val="00321D2A"/>
    <w:rsid w:val="00321EBE"/>
    <w:rsid w:val="00321F17"/>
    <w:rsid w:val="00322177"/>
    <w:rsid w:val="003221EA"/>
    <w:rsid w:val="00322671"/>
    <w:rsid w:val="00322BBA"/>
    <w:rsid w:val="00322C46"/>
    <w:rsid w:val="00322E6A"/>
    <w:rsid w:val="00323A07"/>
    <w:rsid w:val="00323ED4"/>
    <w:rsid w:val="00323F6F"/>
    <w:rsid w:val="003241B0"/>
    <w:rsid w:val="00324281"/>
    <w:rsid w:val="00324612"/>
    <w:rsid w:val="00324B87"/>
    <w:rsid w:val="00324FD7"/>
    <w:rsid w:val="003251EB"/>
    <w:rsid w:val="00325571"/>
    <w:rsid w:val="00325575"/>
    <w:rsid w:val="00325CA6"/>
    <w:rsid w:val="00325D21"/>
    <w:rsid w:val="00325E5B"/>
    <w:rsid w:val="0032607B"/>
    <w:rsid w:val="003265AF"/>
    <w:rsid w:val="0032662D"/>
    <w:rsid w:val="00326F5F"/>
    <w:rsid w:val="00327181"/>
    <w:rsid w:val="003276AD"/>
    <w:rsid w:val="00327722"/>
    <w:rsid w:val="00327905"/>
    <w:rsid w:val="00327A60"/>
    <w:rsid w:val="00327B7B"/>
    <w:rsid w:val="00327F6C"/>
    <w:rsid w:val="0033006F"/>
    <w:rsid w:val="003302F0"/>
    <w:rsid w:val="00330436"/>
    <w:rsid w:val="003305BF"/>
    <w:rsid w:val="00330A75"/>
    <w:rsid w:val="00330B56"/>
    <w:rsid w:val="00330B98"/>
    <w:rsid w:val="0033151E"/>
    <w:rsid w:val="00331682"/>
    <w:rsid w:val="0033185C"/>
    <w:rsid w:val="003318D0"/>
    <w:rsid w:val="00332B8E"/>
    <w:rsid w:val="00332EEB"/>
    <w:rsid w:val="00332F4F"/>
    <w:rsid w:val="003332ED"/>
    <w:rsid w:val="00333420"/>
    <w:rsid w:val="00333972"/>
    <w:rsid w:val="00333F76"/>
    <w:rsid w:val="00333FA3"/>
    <w:rsid w:val="003341FA"/>
    <w:rsid w:val="00334429"/>
    <w:rsid w:val="0033475B"/>
    <w:rsid w:val="003350DE"/>
    <w:rsid w:val="00335169"/>
    <w:rsid w:val="003352D6"/>
    <w:rsid w:val="003352F3"/>
    <w:rsid w:val="003355A2"/>
    <w:rsid w:val="00335C48"/>
    <w:rsid w:val="00336080"/>
    <w:rsid w:val="003360C5"/>
    <w:rsid w:val="00336545"/>
    <w:rsid w:val="00336840"/>
    <w:rsid w:val="00336891"/>
    <w:rsid w:val="003368A9"/>
    <w:rsid w:val="00336AF9"/>
    <w:rsid w:val="00336CA8"/>
    <w:rsid w:val="003370AB"/>
    <w:rsid w:val="00337301"/>
    <w:rsid w:val="003377D7"/>
    <w:rsid w:val="00337D3A"/>
    <w:rsid w:val="00337E20"/>
    <w:rsid w:val="00337E57"/>
    <w:rsid w:val="00340134"/>
    <w:rsid w:val="0034015F"/>
    <w:rsid w:val="003409F2"/>
    <w:rsid w:val="00340A5F"/>
    <w:rsid w:val="00340AD4"/>
    <w:rsid w:val="00340E42"/>
    <w:rsid w:val="00341038"/>
    <w:rsid w:val="00341252"/>
    <w:rsid w:val="00341432"/>
    <w:rsid w:val="00341927"/>
    <w:rsid w:val="0034196D"/>
    <w:rsid w:val="00341C9A"/>
    <w:rsid w:val="003423D4"/>
    <w:rsid w:val="003428F9"/>
    <w:rsid w:val="0034323F"/>
    <w:rsid w:val="003435BE"/>
    <w:rsid w:val="00343C12"/>
    <w:rsid w:val="003443AE"/>
    <w:rsid w:val="0034509F"/>
    <w:rsid w:val="00345303"/>
    <w:rsid w:val="00345524"/>
    <w:rsid w:val="00345779"/>
    <w:rsid w:val="0034625E"/>
    <w:rsid w:val="00346433"/>
    <w:rsid w:val="003470A2"/>
    <w:rsid w:val="0034741F"/>
    <w:rsid w:val="00347558"/>
    <w:rsid w:val="003479C9"/>
    <w:rsid w:val="0035057E"/>
    <w:rsid w:val="003508FC"/>
    <w:rsid w:val="0035119D"/>
    <w:rsid w:val="003514D5"/>
    <w:rsid w:val="00351DAA"/>
    <w:rsid w:val="00352469"/>
    <w:rsid w:val="00352AC4"/>
    <w:rsid w:val="00352FB4"/>
    <w:rsid w:val="003530BA"/>
    <w:rsid w:val="00353686"/>
    <w:rsid w:val="003537A3"/>
    <w:rsid w:val="003538F3"/>
    <w:rsid w:val="00354514"/>
    <w:rsid w:val="0035459D"/>
    <w:rsid w:val="00354882"/>
    <w:rsid w:val="00354B15"/>
    <w:rsid w:val="00354CF8"/>
    <w:rsid w:val="00355063"/>
    <w:rsid w:val="003553E4"/>
    <w:rsid w:val="003556CB"/>
    <w:rsid w:val="00355873"/>
    <w:rsid w:val="0035595A"/>
    <w:rsid w:val="00355E70"/>
    <w:rsid w:val="003561E1"/>
    <w:rsid w:val="003566C8"/>
    <w:rsid w:val="003569F8"/>
    <w:rsid w:val="00356D6E"/>
    <w:rsid w:val="00356EEB"/>
    <w:rsid w:val="003600A7"/>
    <w:rsid w:val="003601FE"/>
    <w:rsid w:val="003606FE"/>
    <w:rsid w:val="00360953"/>
    <w:rsid w:val="00360DF7"/>
    <w:rsid w:val="00361580"/>
    <w:rsid w:val="00361693"/>
    <w:rsid w:val="00361AAB"/>
    <w:rsid w:val="00361D1B"/>
    <w:rsid w:val="00362161"/>
    <w:rsid w:val="0036232D"/>
    <w:rsid w:val="00362340"/>
    <w:rsid w:val="00362500"/>
    <w:rsid w:val="003625F3"/>
    <w:rsid w:val="00362D26"/>
    <w:rsid w:val="00362D75"/>
    <w:rsid w:val="00362F8E"/>
    <w:rsid w:val="0036319F"/>
    <w:rsid w:val="00364446"/>
    <w:rsid w:val="00364E26"/>
    <w:rsid w:val="0036514B"/>
    <w:rsid w:val="0036528E"/>
    <w:rsid w:val="0036551D"/>
    <w:rsid w:val="00365624"/>
    <w:rsid w:val="00365AD6"/>
    <w:rsid w:val="00366225"/>
    <w:rsid w:val="003662D1"/>
    <w:rsid w:val="003663F8"/>
    <w:rsid w:val="00367284"/>
    <w:rsid w:val="0036749B"/>
    <w:rsid w:val="00367D63"/>
    <w:rsid w:val="00367F02"/>
    <w:rsid w:val="00370847"/>
    <w:rsid w:val="00370EAA"/>
    <w:rsid w:val="003710D6"/>
    <w:rsid w:val="0037130E"/>
    <w:rsid w:val="00371356"/>
    <w:rsid w:val="00371590"/>
    <w:rsid w:val="0037169C"/>
    <w:rsid w:val="0037180C"/>
    <w:rsid w:val="00371BA0"/>
    <w:rsid w:val="00371DC1"/>
    <w:rsid w:val="00372249"/>
    <w:rsid w:val="0037268F"/>
    <w:rsid w:val="00372BC9"/>
    <w:rsid w:val="003735B3"/>
    <w:rsid w:val="00373817"/>
    <w:rsid w:val="00373893"/>
    <w:rsid w:val="00373B87"/>
    <w:rsid w:val="003740D6"/>
    <w:rsid w:val="003745A7"/>
    <w:rsid w:val="00374A7B"/>
    <w:rsid w:val="003752F1"/>
    <w:rsid w:val="003753C5"/>
    <w:rsid w:val="0037542F"/>
    <w:rsid w:val="00375796"/>
    <w:rsid w:val="00375809"/>
    <w:rsid w:val="00375B95"/>
    <w:rsid w:val="00375E02"/>
    <w:rsid w:val="00376151"/>
    <w:rsid w:val="00376712"/>
    <w:rsid w:val="00376787"/>
    <w:rsid w:val="00377433"/>
    <w:rsid w:val="0037759A"/>
    <w:rsid w:val="00377D38"/>
    <w:rsid w:val="0038010E"/>
    <w:rsid w:val="00380442"/>
    <w:rsid w:val="00380458"/>
    <w:rsid w:val="003806A6"/>
    <w:rsid w:val="00380AAB"/>
    <w:rsid w:val="00380B42"/>
    <w:rsid w:val="00381C73"/>
    <w:rsid w:val="00381D8B"/>
    <w:rsid w:val="00381E2D"/>
    <w:rsid w:val="003820A6"/>
    <w:rsid w:val="00382C70"/>
    <w:rsid w:val="00382E65"/>
    <w:rsid w:val="003836CB"/>
    <w:rsid w:val="0038373F"/>
    <w:rsid w:val="003839BD"/>
    <w:rsid w:val="003840BA"/>
    <w:rsid w:val="003848EF"/>
    <w:rsid w:val="00384B52"/>
    <w:rsid w:val="003851A0"/>
    <w:rsid w:val="003854FD"/>
    <w:rsid w:val="003860E9"/>
    <w:rsid w:val="0038625B"/>
    <w:rsid w:val="00386346"/>
    <w:rsid w:val="003863E9"/>
    <w:rsid w:val="00386BD3"/>
    <w:rsid w:val="00386C68"/>
    <w:rsid w:val="00386CC2"/>
    <w:rsid w:val="00386D3A"/>
    <w:rsid w:val="00387196"/>
    <w:rsid w:val="00387289"/>
    <w:rsid w:val="0038734B"/>
    <w:rsid w:val="0038750D"/>
    <w:rsid w:val="0038765E"/>
    <w:rsid w:val="003878E0"/>
    <w:rsid w:val="00387E70"/>
    <w:rsid w:val="00387E88"/>
    <w:rsid w:val="00387F84"/>
    <w:rsid w:val="00390102"/>
    <w:rsid w:val="00390258"/>
    <w:rsid w:val="003907D0"/>
    <w:rsid w:val="00390CCB"/>
    <w:rsid w:val="00390EA8"/>
    <w:rsid w:val="0039191D"/>
    <w:rsid w:val="00391BAD"/>
    <w:rsid w:val="00392104"/>
    <w:rsid w:val="00392441"/>
    <w:rsid w:val="00392885"/>
    <w:rsid w:val="00392907"/>
    <w:rsid w:val="00392B03"/>
    <w:rsid w:val="00392B04"/>
    <w:rsid w:val="00392E05"/>
    <w:rsid w:val="00392F54"/>
    <w:rsid w:val="00393100"/>
    <w:rsid w:val="0039318C"/>
    <w:rsid w:val="003931E5"/>
    <w:rsid w:val="003932DA"/>
    <w:rsid w:val="003933DD"/>
    <w:rsid w:val="0039382C"/>
    <w:rsid w:val="00393B7D"/>
    <w:rsid w:val="00393DA3"/>
    <w:rsid w:val="00393F21"/>
    <w:rsid w:val="0039439F"/>
    <w:rsid w:val="00394967"/>
    <w:rsid w:val="00394C09"/>
    <w:rsid w:val="00394D43"/>
    <w:rsid w:val="00395000"/>
    <w:rsid w:val="00395228"/>
    <w:rsid w:val="0039567F"/>
    <w:rsid w:val="003958E4"/>
    <w:rsid w:val="00395BAA"/>
    <w:rsid w:val="00395C8D"/>
    <w:rsid w:val="003960E2"/>
    <w:rsid w:val="003968F3"/>
    <w:rsid w:val="00396C1D"/>
    <w:rsid w:val="00397280"/>
    <w:rsid w:val="003977DB"/>
    <w:rsid w:val="00397874"/>
    <w:rsid w:val="00397AD7"/>
    <w:rsid w:val="00397AEA"/>
    <w:rsid w:val="00397C7E"/>
    <w:rsid w:val="00397D2C"/>
    <w:rsid w:val="00397E55"/>
    <w:rsid w:val="003A03DD"/>
    <w:rsid w:val="003A1348"/>
    <w:rsid w:val="003A19D8"/>
    <w:rsid w:val="003A1B3E"/>
    <w:rsid w:val="003A1D8E"/>
    <w:rsid w:val="003A217C"/>
    <w:rsid w:val="003A28E6"/>
    <w:rsid w:val="003A2945"/>
    <w:rsid w:val="003A3032"/>
    <w:rsid w:val="003A33E5"/>
    <w:rsid w:val="003A47AC"/>
    <w:rsid w:val="003A4DE8"/>
    <w:rsid w:val="003A4F27"/>
    <w:rsid w:val="003A62F6"/>
    <w:rsid w:val="003A736A"/>
    <w:rsid w:val="003A7501"/>
    <w:rsid w:val="003A7DBF"/>
    <w:rsid w:val="003B01C5"/>
    <w:rsid w:val="003B072F"/>
    <w:rsid w:val="003B07BD"/>
    <w:rsid w:val="003B08EC"/>
    <w:rsid w:val="003B0EAA"/>
    <w:rsid w:val="003B0F75"/>
    <w:rsid w:val="003B0FE7"/>
    <w:rsid w:val="003B171A"/>
    <w:rsid w:val="003B1929"/>
    <w:rsid w:val="003B1C58"/>
    <w:rsid w:val="003B1DA4"/>
    <w:rsid w:val="003B2675"/>
    <w:rsid w:val="003B29FF"/>
    <w:rsid w:val="003B2C6A"/>
    <w:rsid w:val="003B32A9"/>
    <w:rsid w:val="003B3872"/>
    <w:rsid w:val="003B3C08"/>
    <w:rsid w:val="003B3E24"/>
    <w:rsid w:val="003B4228"/>
    <w:rsid w:val="003B464C"/>
    <w:rsid w:val="003B4DC7"/>
    <w:rsid w:val="003B4E9D"/>
    <w:rsid w:val="003B569E"/>
    <w:rsid w:val="003B56D8"/>
    <w:rsid w:val="003B57FB"/>
    <w:rsid w:val="003B5B27"/>
    <w:rsid w:val="003B5E6E"/>
    <w:rsid w:val="003B620F"/>
    <w:rsid w:val="003B63D4"/>
    <w:rsid w:val="003B6413"/>
    <w:rsid w:val="003B66A7"/>
    <w:rsid w:val="003B6FA5"/>
    <w:rsid w:val="003B711D"/>
    <w:rsid w:val="003B756F"/>
    <w:rsid w:val="003B7579"/>
    <w:rsid w:val="003B781C"/>
    <w:rsid w:val="003B7966"/>
    <w:rsid w:val="003B7AC1"/>
    <w:rsid w:val="003C001E"/>
    <w:rsid w:val="003C0AFC"/>
    <w:rsid w:val="003C0C94"/>
    <w:rsid w:val="003C0DC8"/>
    <w:rsid w:val="003C0EDB"/>
    <w:rsid w:val="003C126E"/>
    <w:rsid w:val="003C128C"/>
    <w:rsid w:val="003C19D8"/>
    <w:rsid w:val="003C1AE5"/>
    <w:rsid w:val="003C23B2"/>
    <w:rsid w:val="003C2A31"/>
    <w:rsid w:val="003C2B07"/>
    <w:rsid w:val="003C2C69"/>
    <w:rsid w:val="003C2E42"/>
    <w:rsid w:val="003C325F"/>
    <w:rsid w:val="003C4586"/>
    <w:rsid w:val="003C4775"/>
    <w:rsid w:val="003C486F"/>
    <w:rsid w:val="003C4B03"/>
    <w:rsid w:val="003C4B1D"/>
    <w:rsid w:val="003C4BF2"/>
    <w:rsid w:val="003C4E74"/>
    <w:rsid w:val="003C512F"/>
    <w:rsid w:val="003C51C6"/>
    <w:rsid w:val="003C5313"/>
    <w:rsid w:val="003C5795"/>
    <w:rsid w:val="003C62C7"/>
    <w:rsid w:val="003C6532"/>
    <w:rsid w:val="003C6AED"/>
    <w:rsid w:val="003C6F88"/>
    <w:rsid w:val="003C71CE"/>
    <w:rsid w:val="003D092A"/>
    <w:rsid w:val="003D0E82"/>
    <w:rsid w:val="003D11B3"/>
    <w:rsid w:val="003D1653"/>
    <w:rsid w:val="003D18E7"/>
    <w:rsid w:val="003D1ACF"/>
    <w:rsid w:val="003D1C82"/>
    <w:rsid w:val="003D2188"/>
    <w:rsid w:val="003D2687"/>
    <w:rsid w:val="003D296F"/>
    <w:rsid w:val="003D2AB2"/>
    <w:rsid w:val="003D2E93"/>
    <w:rsid w:val="003D2E98"/>
    <w:rsid w:val="003D3230"/>
    <w:rsid w:val="003D32DF"/>
    <w:rsid w:val="003D33A1"/>
    <w:rsid w:val="003D3576"/>
    <w:rsid w:val="003D365D"/>
    <w:rsid w:val="003D3677"/>
    <w:rsid w:val="003D36A1"/>
    <w:rsid w:val="003D5337"/>
    <w:rsid w:val="003D5401"/>
    <w:rsid w:val="003D5491"/>
    <w:rsid w:val="003D5974"/>
    <w:rsid w:val="003D59BB"/>
    <w:rsid w:val="003D5CA4"/>
    <w:rsid w:val="003D6313"/>
    <w:rsid w:val="003D6C01"/>
    <w:rsid w:val="003D6CD6"/>
    <w:rsid w:val="003D6FC3"/>
    <w:rsid w:val="003D7124"/>
    <w:rsid w:val="003D73F0"/>
    <w:rsid w:val="003D7448"/>
    <w:rsid w:val="003D7637"/>
    <w:rsid w:val="003D79CA"/>
    <w:rsid w:val="003D7A96"/>
    <w:rsid w:val="003D7B2F"/>
    <w:rsid w:val="003D7C69"/>
    <w:rsid w:val="003D7D73"/>
    <w:rsid w:val="003D7E23"/>
    <w:rsid w:val="003E0055"/>
    <w:rsid w:val="003E0697"/>
    <w:rsid w:val="003E0C18"/>
    <w:rsid w:val="003E0F14"/>
    <w:rsid w:val="003E104D"/>
    <w:rsid w:val="003E16E8"/>
    <w:rsid w:val="003E1B36"/>
    <w:rsid w:val="003E1F33"/>
    <w:rsid w:val="003E2523"/>
    <w:rsid w:val="003E2833"/>
    <w:rsid w:val="003E28F5"/>
    <w:rsid w:val="003E336C"/>
    <w:rsid w:val="003E33E6"/>
    <w:rsid w:val="003E41EE"/>
    <w:rsid w:val="003E4337"/>
    <w:rsid w:val="003E442A"/>
    <w:rsid w:val="003E45FF"/>
    <w:rsid w:val="003E4852"/>
    <w:rsid w:val="003E490B"/>
    <w:rsid w:val="003E4B19"/>
    <w:rsid w:val="003E51B1"/>
    <w:rsid w:val="003E5237"/>
    <w:rsid w:val="003E52FB"/>
    <w:rsid w:val="003E59E2"/>
    <w:rsid w:val="003E5CD7"/>
    <w:rsid w:val="003E6043"/>
    <w:rsid w:val="003E6337"/>
    <w:rsid w:val="003E6491"/>
    <w:rsid w:val="003E66CA"/>
    <w:rsid w:val="003E6DFD"/>
    <w:rsid w:val="003E70B8"/>
    <w:rsid w:val="003E71AC"/>
    <w:rsid w:val="003E74B2"/>
    <w:rsid w:val="003E7758"/>
    <w:rsid w:val="003E7875"/>
    <w:rsid w:val="003F01BC"/>
    <w:rsid w:val="003F0CFD"/>
    <w:rsid w:val="003F0D4D"/>
    <w:rsid w:val="003F1152"/>
    <w:rsid w:val="003F11B3"/>
    <w:rsid w:val="003F1475"/>
    <w:rsid w:val="003F1E5A"/>
    <w:rsid w:val="003F21E7"/>
    <w:rsid w:val="003F2980"/>
    <w:rsid w:val="003F2D95"/>
    <w:rsid w:val="003F2E6A"/>
    <w:rsid w:val="003F30A7"/>
    <w:rsid w:val="003F3B93"/>
    <w:rsid w:val="003F4021"/>
    <w:rsid w:val="003F4050"/>
    <w:rsid w:val="003F453A"/>
    <w:rsid w:val="003F465D"/>
    <w:rsid w:val="003F48BC"/>
    <w:rsid w:val="003F4F2F"/>
    <w:rsid w:val="003F5197"/>
    <w:rsid w:val="003F5704"/>
    <w:rsid w:val="003F5D70"/>
    <w:rsid w:val="003F65D6"/>
    <w:rsid w:val="003F67F5"/>
    <w:rsid w:val="003F6856"/>
    <w:rsid w:val="003F6E5D"/>
    <w:rsid w:val="003F6ED6"/>
    <w:rsid w:val="003F6FB3"/>
    <w:rsid w:val="003F76FB"/>
    <w:rsid w:val="003F7F74"/>
    <w:rsid w:val="004003CC"/>
    <w:rsid w:val="00400465"/>
    <w:rsid w:val="00400587"/>
    <w:rsid w:val="00400A2D"/>
    <w:rsid w:val="00401005"/>
    <w:rsid w:val="00401239"/>
    <w:rsid w:val="004014F0"/>
    <w:rsid w:val="004015A3"/>
    <w:rsid w:val="00401DDB"/>
    <w:rsid w:val="00401EE7"/>
    <w:rsid w:val="00401F07"/>
    <w:rsid w:val="00401FBE"/>
    <w:rsid w:val="00402372"/>
    <w:rsid w:val="0040244F"/>
    <w:rsid w:val="004027DC"/>
    <w:rsid w:val="00402C2B"/>
    <w:rsid w:val="00402E99"/>
    <w:rsid w:val="0040319B"/>
    <w:rsid w:val="0040355B"/>
    <w:rsid w:val="004043AA"/>
    <w:rsid w:val="004043C4"/>
    <w:rsid w:val="004044AA"/>
    <w:rsid w:val="004045C7"/>
    <w:rsid w:val="004046AA"/>
    <w:rsid w:val="00404988"/>
    <w:rsid w:val="00404AF8"/>
    <w:rsid w:val="00404BC8"/>
    <w:rsid w:val="00404E23"/>
    <w:rsid w:val="00404F1A"/>
    <w:rsid w:val="00404F4B"/>
    <w:rsid w:val="0040647D"/>
    <w:rsid w:val="004064F9"/>
    <w:rsid w:val="00407BE3"/>
    <w:rsid w:val="00407C56"/>
    <w:rsid w:val="00410315"/>
    <w:rsid w:val="00410577"/>
    <w:rsid w:val="0041128C"/>
    <w:rsid w:val="00411370"/>
    <w:rsid w:val="0041179D"/>
    <w:rsid w:val="004120D1"/>
    <w:rsid w:val="004131A9"/>
    <w:rsid w:val="0041345B"/>
    <w:rsid w:val="004136A1"/>
    <w:rsid w:val="004138FA"/>
    <w:rsid w:val="0041445F"/>
    <w:rsid w:val="00414DA5"/>
    <w:rsid w:val="00414E1F"/>
    <w:rsid w:val="00414F42"/>
    <w:rsid w:val="004157E3"/>
    <w:rsid w:val="00415BEB"/>
    <w:rsid w:val="00415F1D"/>
    <w:rsid w:val="00415F98"/>
    <w:rsid w:val="00416ACC"/>
    <w:rsid w:val="00416C3C"/>
    <w:rsid w:val="00416F21"/>
    <w:rsid w:val="00417288"/>
    <w:rsid w:val="00417915"/>
    <w:rsid w:val="00417A7B"/>
    <w:rsid w:val="00417D8D"/>
    <w:rsid w:val="00417F54"/>
    <w:rsid w:val="00420B2E"/>
    <w:rsid w:val="00420DB7"/>
    <w:rsid w:val="00420EAF"/>
    <w:rsid w:val="0042100B"/>
    <w:rsid w:val="0042112F"/>
    <w:rsid w:val="00421506"/>
    <w:rsid w:val="0042256C"/>
    <w:rsid w:val="004227E0"/>
    <w:rsid w:val="00422B71"/>
    <w:rsid w:val="00422D54"/>
    <w:rsid w:val="00422F0F"/>
    <w:rsid w:val="0042313B"/>
    <w:rsid w:val="00423AB1"/>
    <w:rsid w:val="00424435"/>
    <w:rsid w:val="004245D8"/>
    <w:rsid w:val="00424ABE"/>
    <w:rsid w:val="00424AD4"/>
    <w:rsid w:val="00424B64"/>
    <w:rsid w:val="00424B72"/>
    <w:rsid w:val="00425A2F"/>
    <w:rsid w:val="00425BBA"/>
    <w:rsid w:val="00425E42"/>
    <w:rsid w:val="00425F79"/>
    <w:rsid w:val="0042620A"/>
    <w:rsid w:val="0042678C"/>
    <w:rsid w:val="004267F3"/>
    <w:rsid w:val="00426894"/>
    <w:rsid w:val="004269ED"/>
    <w:rsid w:val="00427569"/>
    <w:rsid w:val="004276E5"/>
    <w:rsid w:val="004279AC"/>
    <w:rsid w:val="00427A04"/>
    <w:rsid w:val="00427E23"/>
    <w:rsid w:val="00427E57"/>
    <w:rsid w:val="00430201"/>
    <w:rsid w:val="0043042A"/>
    <w:rsid w:val="004305A0"/>
    <w:rsid w:val="004308C7"/>
    <w:rsid w:val="00430AA5"/>
    <w:rsid w:val="00430C07"/>
    <w:rsid w:val="00430F62"/>
    <w:rsid w:val="00431160"/>
    <w:rsid w:val="00431272"/>
    <w:rsid w:val="00431C14"/>
    <w:rsid w:val="00431D37"/>
    <w:rsid w:val="004324B4"/>
    <w:rsid w:val="004325FD"/>
    <w:rsid w:val="00432FBC"/>
    <w:rsid w:val="00433462"/>
    <w:rsid w:val="00433810"/>
    <w:rsid w:val="00433CD5"/>
    <w:rsid w:val="00434138"/>
    <w:rsid w:val="00434164"/>
    <w:rsid w:val="0043421F"/>
    <w:rsid w:val="00434398"/>
    <w:rsid w:val="00434404"/>
    <w:rsid w:val="004344B7"/>
    <w:rsid w:val="004344F8"/>
    <w:rsid w:val="00434557"/>
    <w:rsid w:val="00434F46"/>
    <w:rsid w:val="00435322"/>
    <w:rsid w:val="0043576D"/>
    <w:rsid w:val="00436426"/>
    <w:rsid w:val="00436512"/>
    <w:rsid w:val="004365CD"/>
    <w:rsid w:val="004367E6"/>
    <w:rsid w:val="0043684C"/>
    <w:rsid w:val="00436B18"/>
    <w:rsid w:val="004372A3"/>
    <w:rsid w:val="00437884"/>
    <w:rsid w:val="004379E4"/>
    <w:rsid w:val="00437A21"/>
    <w:rsid w:val="00437BA4"/>
    <w:rsid w:val="00437CF0"/>
    <w:rsid w:val="00437E4E"/>
    <w:rsid w:val="00437F29"/>
    <w:rsid w:val="00440466"/>
    <w:rsid w:val="004405AC"/>
    <w:rsid w:val="00440CF0"/>
    <w:rsid w:val="00440E44"/>
    <w:rsid w:val="0044167E"/>
    <w:rsid w:val="0044176B"/>
    <w:rsid w:val="0044180E"/>
    <w:rsid w:val="00441D7C"/>
    <w:rsid w:val="004420E6"/>
    <w:rsid w:val="004424A3"/>
    <w:rsid w:val="004424BA"/>
    <w:rsid w:val="0044257F"/>
    <w:rsid w:val="00442B8B"/>
    <w:rsid w:val="00442CE0"/>
    <w:rsid w:val="00442D2C"/>
    <w:rsid w:val="00442EEB"/>
    <w:rsid w:val="00443142"/>
    <w:rsid w:val="004432F3"/>
    <w:rsid w:val="0044498B"/>
    <w:rsid w:val="00444EA1"/>
    <w:rsid w:val="00444F2D"/>
    <w:rsid w:val="00445908"/>
    <w:rsid w:val="0044678F"/>
    <w:rsid w:val="00446A75"/>
    <w:rsid w:val="00446AB0"/>
    <w:rsid w:val="00446BEE"/>
    <w:rsid w:val="004474F2"/>
    <w:rsid w:val="00450166"/>
    <w:rsid w:val="004501DD"/>
    <w:rsid w:val="00450B01"/>
    <w:rsid w:val="00450C76"/>
    <w:rsid w:val="004510C6"/>
    <w:rsid w:val="0045161A"/>
    <w:rsid w:val="004516BE"/>
    <w:rsid w:val="00451B18"/>
    <w:rsid w:val="00451EB7"/>
    <w:rsid w:val="0045282F"/>
    <w:rsid w:val="00453310"/>
    <w:rsid w:val="004533F2"/>
    <w:rsid w:val="004537DA"/>
    <w:rsid w:val="00453D6C"/>
    <w:rsid w:val="00453EAA"/>
    <w:rsid w:val="00454099"/>
    <w:rsid w:val="004540A2"/>
    <w:rsid w:val="004540FE"/>
    <w:rsid w:val="004546CC"/>
    <w:rsid w:val="00454D00"/>
    <w:rsid w:val="00455AF7"/>
    <w:rsid w:val="00455BE0"/>
    <w:rsid w:val="00455C37"/>
    <w:rsid w:val="00456734"/>
    <w:rsid w:val="0045678D"/>
    <w:rsid w:val="004567F3"/>
    <w:rsid w:val="0045693C"/>
    <w:rsid w:val="00456B93"/>
    <w:rsid w:val="00456B9E"/>
    <w:rsid w:val="00456F92"/>
    <w:rsid w:val="00457069"/>
    <w:rsid w:val="00457485"/>
    <w:rsid w:val="004575A1"/>
    <w:rsid w:val="004576F0"/>
    <w:rsid w:val="004578AB"/>
    <w:rsid w:val="00457B71"/>
    <w:rsid w:val="00460D67"/>
    <w:rsid w:val="004611D2"/>
    <w:rsid w:val="0046151D"/>
    <w:rsid w:val="004616BC"/>
    <w:rsid w:val="00461867"/>
    <w:rsid w:val="00462090"/>
    <w:rsid w:val="00462A29"/>
    <w:rsid w:val="004633FA"/>
    <w:rsid w:val="004635C0"/>
    <w:rsid w:val="00463AF2"/>
    <w:rsid w:val="00463BA3"/>
    <w:rsid w:val="00463E61"/>
    <w:rsid w:val="004640A2"/>
    <w:rsid w:val="004640CC"/>
    <w:rsid w:val="004645C7"/>
    <w:rsid w:val="00464962"/>
    <w:rsid w:val="00464D01"/>
    <w:rsid w:val="00465A07"/>
    <w:rsid w:val="00465C49"/>
    <w:rsid w:val="00465C6D"/>
    <w:rsid w:val="00465CAC"/>
    <w:rsid w:val="00465E4F"/>
    <w:rsid w:val="00465F70"/>
    <w:rsid w:val="00466287"/>
    <w:rsid w:val="004664EC"/>
    <w:rsid w:val="00466B0B"/>
    <w:rsid w:val="00466C90"/>
    <w:rsid w:val="00466E82"/>
    <w:rsid w:val="004673B7"/>
    <w:rsid w:val="004676DD"/>
    <w:rsid w:val="00467B36"/>
    <w:rsid w:val="00470514"/>
    <w:rsid w:val="004707F7"/>
    <w:rsid w:val="004708B9"/>
    <w:rsid w:val="00470934"/>
    <w:rsid w:val="00471B9C"/>
    <w:rsid w:val="0047243E"/>
    <w:rsid w:val="004727F9"/>
    <w:rsid w:val="004729D8"/>
    <w:rsid w:val="00473152"/>
    <w:rsid w:val="00473178"/>
    <w:rsid w:val="0047322E"/>
    <w:rsid w:val="004732EA"/>
    <w:rsid w:val="0047331B"/>
    <w:rsid w:val="004736C5"/>
    <w:rsid w:val="004739C5"/>
    <w:rsid w:val="0047464F"/>
    <w:rsid w:val="004749B4"/>
    <w:rsid w:val="00474B72"/>
    <w:rsid w:val="00474CC7"/>
    <w:rsid w:val="0047555D"/>
    <w:rsid w:val="004757FA"/>
    <w:rsid w:val="004761EE"/>
    <w:rsid w:val="004764EE"/>
    <w:rsid w:val="004768C3"/>
    <w:rsid w:val="00476D7C"/>
    <w:rsid w:val="00477285"/>
    <w:rsid w:val="0047739D"/>
    <w:rsid w:val="00477588"/>
    <w:rsid w:val="00477728"/>
    <w:rsid w:val="0047780F"/>
    <w:rsid w:val="00477854"/>
    <w:rsid w:val="00477C0E"/>
    <w:rsid w:val="00477DE1"/>
    <w:rsid w:val="00480AA7"/>
    <w:rsid w:val="00480C8A"/>
    <w:rsid w:val="00480C9D"/>
    <w:rsid w:val="00481458"/>
    <w:rsid w:val="0048194C"/>
    <w:rsid w:val="0048207A"/>
    <w:rsid w:val="00482080"/>
    <w:rsid w:val="0048214A"/>
    <w:rsid w:val="0048226A"/>
    <w:rsid w:val="004822D4"/>
    <w:rsid w:val="0048256F"/>
    <w:rsid w:val="00482799"/>
    <w:rsid w:val="00482A9E"/>
    <w:rsid w:val="00482E3B"/>
    <w:rsid w:val="0048313F"/>
    <w:rsid w:val="004832E3"/>
    <w:rsid w:val="004836DC"/>
    <w:rsid w:val="004836E9"/>
    <w:rsid w:val="00483CD3"/>
    <w:rsid w:val="00483D7F"/>
    <w:rsid w:val="00483DE3"/>
    <w:rsid w:val="0048410E"/>
    <w:rsid w:val="00485064"/>
    <w:rsid w:val="004853D7"/>
    <w:rsid w:val="004854C6"/>
    <w:rsid w:val="00485728"/>
    <w:rsid w:val="004859DA"/>
    <w:rsid w:val="00485ADE"/>
    <w:rsid w:val="00485B12"/>
    <w:rsid w:val="00485D47"/>
    <w:rsid w:val="00486004"/>
    <w:rsid w:val="00486590"/>
    <w:rsid w:val="00486594"/>
    <w:rsid w:val="00486AD9"/>
    <w:rsid w:val="00486EC0"/>
    <w:rsid w:val="00486F93"/>
    <w:rsid w:val="004877DE"/>
    <w:rsid w:val="00487E59"/>
    <w:rsid w:val="0049030C"/>
    <w:rsid w:val="00490481"/>
    <w:rsid w:val="004908E8"/>
    <w:rsid w:val="00490994"/>
    <w:rsid w:val="004909C5"/>
    <w:rsid w:val="00490ACE"/>
    <w:rsid w:val="00490B41"/>
    <w:rsid w:val="00490C88"/>
    <w:rsid w:val="0049101D"/>
    <w:rsid w:val="0049103F"/>
    <w:rsid w:val="00491170"/>
    <w:rsid w:val="0049127B"/>
    <w:rsid w:val="00491522"/>
    <w:rsid w:val="00491861"/>
    <w:rsid w:val="004918EC"/>
    <w:rsid w:val="00491BE9"/>
    <w:rsid w:val="00491C39"/>
    <w:rsid w:val="00492077"/>
    <w:rsid w:val="004920B8"/>
    <w:rsid w:val="00492233"/>
    <w:rsid w:val="0049294F"/>
    <w:rsid w:val="00492C8F"/>
    <w:rsid w:val="00492E1D"/>
    <w:rsid w:val="004934C0"/>
    <w:rsid w:val="0049360E"/>
    <w:rsid w:val="00493A8D"/>
    <w:rsid w:val="00493E8D"/>
    <w:rsid w:val="004942B5"/>
    <w:rsid w:val="00494337"/>
    <w:rsid w:val="00495336"/>
    <w:rsid w:val="004957C1"/>
    <w:rsid w:val="00495FC4"/>
    <w:rsid w:val="004960F5"/>
    <w:rsid w:val="004961B8"/>
    <w:rsid w:val="00496269"/>
    <w:rsid w:val="0049642F"/>
    <w:rsid w:val="0049697E"/>
    <w:rsid w:val="00496C2D"/>
    <w:rsid w:val="00496DBC"/>
    <w:rsid w:val="004976FE"/>
    <w:rsid w:val="00497A6D"/>
    <w:rsid w:val="004A0032"/>
    <w:rsid w:val="004A0136"/>
    <w:rsid w:val="004A02E4"/>
    <w:rsid w:val="004A07E6"/>
    <w:rsid w:val="004A0D60"/>
    <w:rsid w:val="004A0F23"/>
    <w:rsid w:val="004A100E"/>
    <w:rsid w:val="004A1624"/>
    <w:rsid w:val="004A1DC3"/>
    <w:rsid w:val="004A20EB"/>
    <w:rsid w:val="004A2112"/>
    <w:rsid w:val="004A238F"/>
    <w:rsid w:val="004A2C8C"/>
    <w:rsid w:val="004A39C3"/>
    <w:rsid w:val="004A40A4"/>
    <w:rsid w:val="004A4170"/>
    <w:rsid w:val="004A43CF"/>
    <w:rsid w:val="004A43E9"/>
    <w:rsid w:val="004A460B"/>
    <w:rsid w:val="004A4B91"/>
    <w:rsid w:val="004A4EC0"/>
    <w:rsid w:val="004A4FB9"/>
    <w:rsid w:val="004A51A3"/>
    <w:rsid w:val="004A5506"/>
    <w:rsid w:val="004A5563"/>
    <w:rsid w:val="004A5ACB"/>
    <w:rsid w:val="004A5E46"/>
    <w:rsid w:val="004A6010"/>
    <w:rsid w:val="004A614A"/>
    <w:rsid w:val="004A6611"/>
    <w:rsid w:val="004A719D"/>
    <w:rsid w:val="004A7604"/>
    <w:rsid w:val="004A790D"/>
    <w:rsid w:val="004A7B87"/>
    <w:rsid w:val="004B03C9"/>
    <w:rsid w:val="004B10E0"/>
    <w:rsid w:val="004B1398"/>
    <w:rsid w:val="004B15C9"/>
    <w:rsid w:val="004B18DC"/>
    <w:rsid w:val="004B220D"/>
    <w:rsid w:val="004B2312"/>
    <w:rsid w:val="004B24BA"/>
    <w:rsid w:val="004B2E9F"/>
    <w:rsid w:val="004B38BB"/>
    <w:rsid w:val="004B3BEA"/>
    <w:rsid w:val="004B4C10"/>
    <w:rsid w:val="004B4D21"/>
    <w:rsid w:val="004B5014"/>
    <w:rsid w:val="004B503A"/>
    <w:rsid w:val="004B5082"/>
    <w:rsid w:val="004B56F5"/>
    <w:rsid w:val="004B5796"/>
    <w:rsid w:val="004B5865"/>
    <w:rsid w:val="004B58E3"/>
    <w:rsid w:val="004B5BDB"/>
    <w:rsid w:val="004B5D61"/>
    <w:rsid w:val="004B69F5"/>
    <w:rsid w:val="004B6BD4"/>
    <w:rsid w:val="004B731C"/>
    <w:rsid w:val="004B73A0"/>
    <w:rsid w:val="004B7758"/>
    <w:rsid w:val="004B7A8D"/>
    <w:rsid w:val="004C001E"/>
    <w:rsid w:val="004C00A8"/>
    <w:rsid w:val="004C00CE"/>
    <w:rsid w:val="004C01E7"/>
    <w:rsid w:val="004C03A3"/>
    <w:rsid w:val="004C0562"/>
    <w:rsid w:val="004C05A8"/>
    <w:rsid w:val="004C0D1A"/>
    <w:rsid w:val="004C0F59"/>
    <w:rsid w:val="004C18D3"/>
    <w:rsid w:val="004C1A89"/>
    <w:rsid w:val="004C24C3"/>
    <w:rsid w:val="004C24C8"/>
    <w:rsid w:val="004C2D99"/>
    <w:rsid w:val="004C314A"/>
    <w:rsid w:val="004C3432"/>
    <w:rsid w:val="004C39DA"/>
    <w:rsid w:val="004C3B6F"/>
    <w:rsid w:val="004C3DD5"/>
    <w:rsid w:val="004C3EEA"/>
    <w:rsid w:val="004C4181"/>
    <w:rsid w:val="004C44CE"/>
    <w:rsid w:val="004C4684"/>
    <w:rsid w:val="004C4D3F"/>
    <w:rsid w:val="004C4E18"/>
    <w:rsid w:val="004C4FA6"/>
    <w:rsid w:val="004C54B2"/>
    <w:rsid w:val="004C588F"/>
    <w:rsid w:val="004C5A4B"/>
    <w:rsid w:val="004C5E5E"/>
    <w:rsid w:val="004C62FB"/>
    <w:rsid w:val="004C6C29"/>
    <w:rsid w:val="004C6F04"/>
    <w:rsid w:val="004C70A2"/>
    <w:rsid w:val="004C7215"/>
    <w:rsid w:val="004C7616"/>
    <w:rsid w:val="004C7891"/>
    <w:rsid w:val="004D054B"/>
    <w:rsid w:val="004D099F"/>
    <w:rsid w:val="004D0F51"/>
    <w:rsid w:val="004D1C0D"/>
    <w:rsid w:val="004D20F7"/>
    <w:rsid w:val="004D21C9"/>
    <w:rsid w:val="004D21FF"/>
    <w:rsid w:val="004D2953"/>
    <w:rsid w:val="004D29BA"/>
    <w:rsid w:val="004D335F"/>
    <w:rsid w:val="004D33C0"/>
    <w:rsid w:val="004D4262"/>
    <w:rsid w:val="004D4A4A"/>
    <w:rsid w:val="004D5208"/>
    <w:rsid w:val="004D557C"/>
    <w:rsid w:val="004D58A8"/>
    <w:rsid w:val="004D5B4A"/>
    <w:rsid w:val="004D5C3B"/>
    <w:rsid w:val="004D6006"/>
    <w:rsid w:val="004D6E71"/>
    <w:rsid w:val="004D7017"/>
    <w:rsid w:val="004D715A"/>
    <w:rsid w:val="004D7EAC"/>
    <w:rsid w:val="004D7FD3"/>
    <w:rsid w:val="004E0385"/>
    <w:rsid w:val="004E0451"/>
    <w:rsid w:val="004E072A"/>
    <w:rsid w:val="004E0AEB"/>
    <w:rsid w:val="004E1236"/>
    <w:rsid w:val="004E138F"/>
    <w:rsid w:val="004E1727"/>
    <w:rsid w:val="004E1A0A"/>
    <w:rsid w:val="004E1E22"/>
    <w:rsid w:val="004E225D"/>
    <w:rsid w:val="004E280B"/>
    <w:rsid w:val="004E2BBE"/>
    <w:rsid w:val="004E2BE7"/>
    <w:rsid w:val="004E2BEC"/>
    <w:rsid w:val="004E2F68"/>
    <w:rsid w:val="004E2FC5"/>
    <w:rsid w:val="004E3245"/>
    <w:rsid w:val="004E355B"/>
    <w:rsid w:val="004E35DC"/>
    <w:rsid w:val="004E3CAB"/>
    <w:rsid w:val="004E3F57"/>
    <w:rsid w:val="004E413F"/>
    <w:rsid w:val="004E5095"/>
    <w:rsid w:val="004E50DA"/>
    <w:rsid w:val="004E511C"/>
    <w:rsid w:val="004E52B9"/>
    <w:rsid w:val="004E5923"/>
    <w:rsid w:val="004E60A6"/>
    <w:rsid w:val="004E620D"/>
    <w:rsid w:val="004E66D3"/>
    <w:rsid w:val="004E69F9"/>
    <w:rsid w:val="004E6EB9"/>
    <w:rsid w:val="004E732A"/>
    <w:rsid w:val="004E7737"/>
    <w:rsid w:val="004E7C43"/>
    <w:rsid w:val="004E7DCE"/>
    <w:rsid w:val="004E7E1B"/>
    <w:rsid w:val="004E7F32"/>
    <w:rsid w:val="004F015A"/>
    <w:rsid w:val="004F06F5"/>
    <w:rsid w:val="004F0A2B"/>
    <w:rsid w:val="004F0AD8"/>
    <w:rsid w:val="004F10AF"/>
    <w:rsid w:val="004F14B7"/>
    <w:rsid w:val="004F177B"/>
    <w:rsid w:val="004F195C"/>
    <w:rsid w:val="004F1ED6"/>
    <w:rsid w:val="004F24B4"/>
    <w:rsid w:val="004F2BA7"/>
    <w:rsid w:val="004F2CBE"/>
    <w:rsid w:val="004F32CE"/>
    <w:rsid w:val="004F3445"/>
    <w:rsid w:val="004F3C36"/>
    <w:rsid w:val="004F4AE8"/>
    <w:rsid w:val="004F4C04"/>
    <w:rsid w:val="004F50C7"/>
    <w:rsid w:val="004F52C7"/>
    <w:rsid w:val="004F532A"/>
    <w:rsid w:val="004F5351"/>
    <w:rsid w:val="004F5447"/>
    <w:rsid w:val="004F56B3"/>
    <w:rsid w:val="004F65E1"/>
    <w:rsid w:val="004F6683"/>
    <w:rsid w:val="004F6A84"/>
    <w:rsid w:val="004F7390"/>
    <w:rsid w:val="004F7657"/>
    <w:rsid w:val="004F778D"/>
    <w:rsid w:val="005002A2"/>
    <w:rsid w:val="005007EA"/>
    <w:rsid w:val="00500E66"/>
    <w:rsid w:val="00501260"/>
    <w:rsid w:val="00501BB9"/>
    <w:rsid w:val="00501CEA"/>
    <w:rsid w:val="0050245A"/>
    <w:rsid w:val="00502B51"/>
    <w:rsid w:val="00502D24"/>
    <w:rsid w:val="00503117"/>
    <w:rsid w:val="005031E7"/>
    <w:rsid w:val="0050326C"/>
    <w:rsid w:val="00503558"/>
    <w:rsid w:val="00503987"/>
    <w:rsid w:val="00503B7D"/>
    <w:rsid w:val="00503E0B"/>
    <w:rsid w:val="005042B9"/>
    <w:rsid w:val="00504757"/>
    <w:rsid w:val="00504FEC"/>
    <w:rsid w:val="005050E7"/>
    <w:rsid w:val="005051F9"/>
    <w:rsid w:val="0050553F"/>
    <w:rsid w:val="00505748"/>
    <w:rsid w:val="0050595F"/>
    <w:rsid w:val="005066A1"/>
    <w:rsid w:val="00506998"/>
    <w:rsid w:val="005070EB"/>
    <w:rsid w:val="005073F4"/>
    <w:rsid w:val="005074CC"/>
    <w:rsid w:val="005074F4"/>
    <w:rsid w:val="0050783B"/>
    <w:rsid w:val="0051060E"/>
    <w:rsid w:val="00511844"/>
    <w:rsid w:val="00511B8A"/>
    <w:rsid w:val="00511BCC"/>
    <w:rsid w:val="0051217F"/>
    <w:rsid w:val="0051245C"/>
    <w:rsid w:val="005125C0"/>
    <w:rsid w:val="0051277F"/>
    <w:rsid w:val="00512D51"/>
    <w:rsid w:val="005132B0"/>
    <w:rsid w:val="0051370C"/>
    <w:rsid w:val="0051389E"/>
    <w:rsid w:val="00513AA9"/>
    <w:rsid w:val="005143FB"/>
    <w:rsid w:val="00514EC0"/>
    <w:rsid w:val="0051532E"/>
    <w:rsid w:val="005156DC"/>
    <w:rsid w:val="00515C6B"/>
    <w:rsid w:val="00516100"/>
    <w:rsid w:val="00516161"/>
    <w:rsid w:val="0051616E"/>
    <w:rsid w:val="00516246"/>
    <w:rsid w:val="0051673B"/>
    <w:rsid w:val="00516990"/>
    <w:rsid w:val="00516A62"/>
    <w:rsid w:val="00516C04"/>
    <w:rsid w:val="005172C6"/>
    <w:rsid w:val="0051745D"/>
    <w:rsid w:val="0051747C"/>
    <w:rsid w:val="005176A5"/>
    <w:rsid w:val="00517CBB"/>
    <w:rsid w:val="00517D9F"/>
    <w:rsid w:val="0052006A"/>
    <w:rsid w:val="00520093"/>
    <w:rsid w:val="0052053B"/>
    <w:rsid w:val="005206E9"/>
    <w:rsid w:val="0052112B"/>
    <w:rsid w:val="0052133A"/>
    <w:rsid w:val="00521C42"/>
    <w:rsid w:val="0052209F"/>
    <w:rsid w:val="005220F2"/>
    <w:rsid w:val="00522580"/>
    <w:rsid w:val="00522765"/>
    <w:rsid w:val="005227A2"/>
    <w:rsid w:val="00522E49"/>
    <w:rsid w:val="00522EE3"/>
    <w:rsid w:val="005230EA"/>
    <w:rsid w:val="00523C3A"/>
    <w:rsid w:val="00523C9B"/>
    <w:rsid w:val="00523FF9"/>
    <w:rsid w:val="005241BA"/>
    <w:rsid w:val="0052472D"/>
    <w:rsid w:val="005250E4"/>
    <w:rsid w:val="005251CF"/>
    <w:rsid w:val="0052574C"/>
    <w:rsid w:val="005259FD"/>
    <w:rsid w:val="00525B70"/>
    <w:rsid w:val="00525E6A"/>
    <w:rsid w:val="00525F71"/>
    <w:rsid w:val="005265C9"/>
    <w:rsid w:val="00526D3A"/>
    <w:rsid w:val="0052771E"/>
    <w:rsid w:val="005278B5"/>
    <w:rsid w:val="00527EBB"/>
    <w:rsid w:val="005300E5"/>
    <w:rsid w:val="00530A16"/>
    <w:rsid w:val="005312E4"/>
    <w:rsid w:val="00531354"/>
    <w:rsid w:val="0053145B"/>
    <w:rsid w:val="0053153C"/>
    <w:rsid w:val="00531E6D"/>
    <w:rsid w:val="00532201"/>
    <w:rsid w:val="00532287"/>
    <w:rsid w:val="00532489"/>
    <w:rsid w:val="005324C9"/>
    <w:rsid w:val="005325B1"/>
    <w:rsid w:val="00532AFF"/>
    <w:rsid w:val="005330C0"/>
    <w:rsid w:val="00533216"/>
    <w:rsid w:val="00533269"/>
    <w:rsid w:val="005334C4"/>
    <w:rsid w:val="00533BE8"/>
    <w:rsid w:val="00533E57"/>
    <w:rsid w:val="00534109"/>
    <w:rsid w:val="00534448"/>
    <w:rsid w:val="0053464B"/>
    <w:rsid w:val="005347EE"/>
    <w:rsid w:val="00535B63"/>
    <w:rsid w:val="00535DBB"/>
    <w:rsid w:val="00535FED"/>
    <w:rsid w:val="0053642B"/>
    <w:rsid w:val="0053695A"/>
    <w:rsid w:val="005369AC"/>
    <w:rsid w:val="00536B2C"/>
    <w:rsid w:val="00536C7B"/>
    <w:rsid w:val="00536F77"/>
    <w:rsid w:val="00536FFF"/>
    <w:rsid w:val="0053700C"/>
    <w:rsid w:val="00537143"/>
    <w:rsid w:val="005378F9"/>
    <w:rsid w:val="005379B5"/>
    <w:rsid w:val="00537AD9"/>
    <w:rsid w:val="00540021"/>
    <w:rsid w:val="00540554"/>
    <w:rsid w:val="0054070E"/>
    <w:rsid w:val="005409FE"/>
    <w:rsid w:val="00540BE0"/>
    <w:rsid w:val="00540C1F"/>
    <w:rsid w:val="00540EF5"/>
    <w:rsid w:val="00540EFD"/>
    <w:rsid w:val="00541099"/>
    <w:rsid w:val="00541352"/>
    <w:rsid w:val="00541EEC"/>
    <w:rsid w:val="005433A0"/>
    <w:rsid w:val="00543BEF"/>
    <w:rsid w:val="00543CFA"/>
    <w:rsid w:val="00544258"/>
    <w:rsid w:val="00544401"/>
    <w:rsid w:val="0054476B"/>
    <w:rsid w:val="00544824"/>
    <w:rsid w:val="0054493A"/>
    <w:rsid w:val="00544B64"/>
    <w:rsid w:val="00544F57"/>
    <w:rsid w:val="00545119"/>
    <w:rsid w:val="0054523B"/>
    <w:rsid w:val="005452A9"/>
    <w:rsid w:val="00545458"/>
    <w:rsid w:val="00546062"/>
    <w:rsid w:val="00546503"/>
    <w:rsid w:val="00546883"/>
    <w:rsid w:val="005468B7"/>
    <w:rsid w:val="00546B37"/>
    <w:rsid w:val="00546C29"/>
    <w:rsid w:val="00546DA5"/>
    <w:rsid w:val="00547023"/>
    <w:rsid w:val="0054750D"/>
    <w:rsid w:val="005476EC"/>
    <w:rsid w:val="005477D5"/>
    <w:rsid w:val="005478AC"/>
    <w:rsid w:val="00547997"/>
    <w:rsid w:val="00547C0A"/>
    <w:rsid w:val="0055008F"/>
    <w:rsid w:val="005503B2"/>
    <w:rsid w:val="0055060E"/>
    <w:rsid w:val="00550915"/>
    <w:rsid w:val="0055098F"/>
    <w:rsid w:val="00550B00"/>
    <w:rsid w:val="00550C65"/>
    <w:rsid w:val="00550CAE"/>
    <w:rsid w:val="00550EC7"/>
    <w:rsid w:val="00551093"/>
    <w:rsid w:val="00551150"/>
    <w:rsid w:val="00551742"/>
    <w:rsid w:val="00551EF7"/>
    <w:rsid w:val="00551FC8"/>
    <w:rsid w:val="00552478"/>
    <w:rsid w:val="005525D5"/>
    <w:rsid w:val="00552649"/>
    <w:rsid w:val="00552847"/>
    <w:rsid w:val="00552B47"/>
    <w:rsid w:val="00552FB1"/>
    <w:rsid w:val="0055389A"/>
    <w:rsid w:val="005538B5"/>
    <w:rsid w:val="005538BE"/>
    <w:rsid w:val="00553A1D"/>
    <w:rsid w:val="0055414C"/>
    <w:rsid w:val="0055465A"/>
    <w:rsid w:val="0055495E"/>
    <w:rsid w:val="00554FFA"/>
    <w:rsid w:val="005550D8"/>
    <w:rsid w:val="00555BEB"/>
    <w:rsid w:val="00556392"/>
    <w:rsid w:val="0055674A"/>
    <w:rsid w:val="00556786"/>
    <w:rsid w:val="00556969"/>
    <w:rsid w:val="00556E58"/>
    <w:rsid w:val="005574DA"/>
    <w:rsid w:val="00557A53"/>
    <w:rsid w:val="00557F7A"/>
    <w:rsid w:val="005603BF"/>
    <w:rsid w:val="00560526"/>
    <w:rsid w:val="00560700"/>
    <w:rsid w:val="00560D23"/>
    <w:rsid w:val="00560E86"/>
    <w:rsid w:val="0056107F"/>
    <w:rsid w:val="005614B5"/>
    <w:rsid w:val="00561D58"/>
    <w:rsid w:val="00561ED5"/>
    <w:rsid w:val="005625BA"/>
    <w:rsid w:val="00562793"/>
    <w:rsid w:val="00562935"/>
    <w:rsid w:val="00562B8B"/>
    <w:rsid w:val="00562C5A"/>
    <w:rsid w:val="00562C73"/>
    <w:rsid w:val="005634C8"/>
    <w:rsid w:val="0056394C"/>
    <w:rsid w:val="00563A5F"/>
    <w:rsid w:val="00563E47"/>
    <w:rsid w:val="00564197"/>
    <w:rsid w:val="005641BD"/>
    <w:rsid w:val="005641E4"/>
    <w:rsid w:val="00564252"/>
    <w:rsid w:val="00564AA3"/>
    <w:rsid w:val="00565ACD"/>
    <w:rsid w:val="00565D77"/>
    <w:rsid w:val="00565DFB"/>
    <w:rsid w:val="00565E48"/>
    <w:rsid w:val="005665DE"/>
    <w:rsid w:val="0056694D"/>
    <w:rsid w:val="005678D7"/>
    <w:rsid w:val="00567BDE"/>
    <w:rsid w:val="00567E16"/>
    <w:rsid w:val="00567F8A"/>
    <w:rsid w:val="00570F78"/>
    <w:rsid w:val="005710AA"/>
    <w:rsid w:val="0057113B"/>
    <w:rsid w:val="005715BB"/>
    <w:rsid w:val="0057178B"/>
    <w:rsid w:val="00571CDB"/>
    <w:rsid w:val="00571F8B"/>
    <w:rsid w:val="00572AAE"/>
    <w:rsid w:val="00572BED"/>
    <w:rsid w:val="00573412"/>
    <w:rsid w:val="005736C5"/>
    <w:rsid w:val="0057381D"/>
    <w:rsid w:val="00574134"/>
    <w:rsid w:val="005741FB"/>
    <w:rsid w:val="00575129"/>
    <w:rsid w:val="0057613A"/>
    <w:rsid w:val="00576171"/>
    <w:rsid w:val="0057627A"/>
    <w:rsid w:val="005763E7"/>
    <w:rsid w:val="0057685C"/>
    <w:rsid w:val="00576B14"/>
    <w:rsid w:val="00576B76"/>
    <w:rsid w:val="00577394"/>
    <w:rsid w:val="005774CF"/>
    <w:rsid w:val="00577516"/>
    <w:rsid w:val="00577537"/>
    <w:rsid w:val="00577643"/>
    <w:rsid w:val="005776CD"/>
    <w:rsid w:val="005777B3"/>
    <w:rsid w:val="005778E1"/>
    <w:rsid w:val="00577DFA"/>
    <w:rsid w:val="00577E7D"/>
    <w:rsid w:val="0058014A"/>
    <w:rsid w:val="005801FD"/>
    <w:rsid w:val="00580756"/>
    <w:rsid w:val="00580ACB"/>
    <w:rsid w:val="00580B28"/>
    <w:rsid w:val="00580CB1"/>
    <w:rsid w:val="00581289"/>
    <w:rsid w:val="005814E1"/>
    <w:rsid w:val="005815F9"/>
    <w:rsid w:val="00581EF3"/>
    <w:rsid w:val="00582231"/>
    <w:rsid w:val="005822DB"/>
    <w:rsid w:val="0058298C"/>
    <w:rsid w:val="005829D4"/>
    <w:rsid w:val="00582C37"/>
    <w:rsid w:val="0058324F"/>
    <w:rsid w:val="00583348"/>
    <w:rsid w:val="0058364D"/>
    <w:rsid w:val="00583CF4"/>
    <w:rsid w:val="00584B04"/>
    <w:rsid w:val="005850D9"/>
    <w:rsid w:val="005852D4"/>
    <w:rsid w:val="00585906"/>
    <w:rsid w:val="00585922"/>
    <w:rsid w:val="00585930"/>
    <w:rsid w:val="00585D21"/>
    <w:rsid w:val="00585D88"/>
    <w:rsid w:val="00585E2E"/>
    <w:rsid w:val="00585EA3"/>
    <w:rsid w:val="00585F5C"/>
    <w:rsid w:val="00586187"/>
    <w:rsid w:val="00586A1E"/>
    <w:rsid w:val="00586A53"/>
    <w:rsid w:val="00586BDB"/>
    <w:rsid w:val="0058759E"/>
    <w:rsid w:val="005878A6"/>
    <w:rsid w:val="00587EAC"/>
    <w:rsid w:val="00590056"/>
    <w:rsid w:val="00590064"/>
    <w:rsid w:val="00590B6F"/>
    <w:rsid w:val="00590F79"/>
    <w:rsid w:val="0059109E"/>
    <w:rsid w:val="005913A3"/>
    <w:rsid w:val="005916EA"/>
    <w:rsid w:val="0059180C"/>
    <w:rsid w:val="00591D7B"/>
    <w:rsid w:val="00591FE5"/>
    <w:rsid w:val="005924DF"/>
    <w:rsid w:val="00592CF5"/>
    <w:rsid w:val="00593666"/>
    <w:rsid w:val="0059382D"/>
    <w:rsid w:val="005939A4"/>
    <w:rsid w:val="00593DE5"/>
    <w:rsid w:val="00594067"/>
    <w:rsid w:val="005941E9"/>
    <w:rsid w:val="00594670"/>
    <w:rsid w:val="00594DE2"/>
    <w:rsid w:val="00594E0D"/>
    <w:rsid w:val="00594F7E"/>
    <w:rsid w:val="00595703"/>
    <w:rsid w:val="005958BE"/>
    <w:rsid w:val="00595948"/>
    <w:rsid w:val="00596E11"/>
    <w:rsid w:val="00597636"/>
    <w:rsid w:val="00597645"/>
    <w:rsid w:val="00597A22"/>
    <w:rsid w:val="00597ACA"/>
    <w:rsid w:val="00597C19"/>
    <w:rsid w:val="00597FF6"/>
    <w:rsid w:val="005A0442"/>
    <w:rsid w:val="005A0482"/>
    <w:rsid w:val="005A146A"/>
    <w:rsid w:val="005A147C"/>
    <w:rsid w:val="005A15F8"/>
    <w:rsid w:val="005A1F28"/>
    <w:rsid w:val="005A1FC2"/>
    <w:rsid w:val="005A28BC"/>
    <w:rsid w:val="005A292A"/>
    <w:rsid w:val="005A2990"/>
    <w:rsid w:val="005A37E0"/>
    <w:rsid w:val="005A3845"/>
    <w:rsid w:val="005A4102"/>
    <w:rsid w:val="005A42C2"/>
    <w:rsid w:val="005A44E4"/>
    <w:rsid w:val="005A4910"/>
    <w:rsid w:val="005A49DE"/>
    <w:rsid w:val="005A4B01"/>
    <w:rsid w:val="005A4F2F"/>
    <w:rsid w:val="005A50B7"/>
    <w:rsid w:val="005A5752"/>
    <w:rsid w:val="005A5D9E"/>
    <w:rsid w:val="005A60F0"/>
    <w:rsid w:val="005A62C6"/>
    <w:rsid w:val="005A69EA"/>
    <w:rsid w:val="005A6DE0"/>
    <w:rsid w:val="005A7233"/>
    <w:rsid w:val="005A72D7"/>
    <w:rsid w:val="005A7387"/>
    <w:rsid w:val="005B034F"/>
    <w:rsid w:val="005B03DB"/>
    <w:rsid w:val="005B0748"/>
    <w:rsid w:val="005B0811"/>
    <w:rsid w:val="005B0851"/>
    <w:rsid w:val="005B0E45"/>
    <w:rsid w:val="005B15AC"/>
    <w:rsid w:val="005B1B39"/>
    <w:rsid w:val="005B1C87"/>
    <w:rsid w:val="005B204A"/>
    <w:rsid w:val="005B2491"/>
    <w:rsid w:val="005B252C"/>
    <w:rsid w:val="005B28DA"/>
    <w:rsid w:val="005B2ABC"/>
    <w:rsid w:val="005B2E62"/>
    <w:rsid w:val="005B3503"/>
    <w:rsid w:val="005B3783"/>
    <w:rsid w:val="005B41D1"/>
    <w:rsid w:val="005B4461"/>
    <w:rsid w:val="005B48A6"/>
    <w:rsid w:val="005B4F3B"/>
    <w:rsid w:val="005B51A6"/>
    <w:rsid w:val="005B51B0"/>
    <w:rsid w:val="005B557C"/>
    <w:rsid w:val="005B5765"/>
    <w:rsid w:val="005B5D94"/>
    <w:rsid w:val="005B5FCA"/>
    <w:rsid w:val="005B602D"/>
    <w:rsid w:val="005B6164"/>
    <w:rsid w:val="005B6213"/>
    <w:rsid w:val="005B6354"/>
    <w:rsid w:val="005B66B9"/>
    <w:rsid w:val="005B6B40"/>
    <w:rsid w:val="005B7A88"/>
    <w:rsid w:val="005B7E37"/>
    <w:rsid w:val="005C047C"/>
    <w:rsid w:val="005C068C"/>
    <w:rsid w:val="005C0CC9"/>
    <w:rsid w:val="005C0F6A"/>
    <w:rsid w:val="005C1711"/>
    <w:rsid w:val="005C1AE9"/>
    <w:rsid w:val="005C20EB"/>
    <w:rsid w:val="005C287D"/>
    <w:rsid w:val="005C294C"/>
    <w:rsid w:val="005C2B10"/>
    <w:rsid w:val="005C2E1E"/>
    <w:rsid w:val="005C304A"/>
    <w:rsid w:val="005C3157"/>
    <w:rsid w:val="005C3554"/>
    <w:rsid w:val="005C355D"/>
    <w:rsid w:val="005C3CBD"/>
    <w:rsid w:val="005C3CCC"/>
    <w:rsid w:val="005C431F"/>
    <w:rsid w:val="005C47A5"/>
    <w:rsid w:val="005C4911"/>
    <w:rsid w:val="005C4B0D"/>
    <w:rsid w:val="005C500E"/>
    <w:rsid w:val="005C5808"/>
    <w:rsid w:val="005C5C7D"/>
    <w:rsid w:val="005C5E0F"/>
    <w:rsid w:val="005C5F5A"/>
    <w:rsid w:val="005C6280"/>
    <w:rsid w:val="005C7332"/>
    <w:rsid w:val="005C76BA"/>
    <w:rsid w:val="005C7814"/>
    <w:rsid w:val="005C7B91"/>
    <w:rsid w:val="005C7CEE"/>
    <w:rsid w:val="005C7F65"/>
    <w:rsid w:val="005D1162"/>
    <w:rsid w:val="005D12BA"/>
    <w:rsid w:val="005D133A"/>
    <w:rsid w:val="005D13D6"/>
    <w:rsid w:val="005D14AC"/>
    <w:rsid w:val="005D1A1B"/>
    <w:rsid w:val="005D283A"/>
    <w:rsid w:val="005D2BCE"/>
    <w:rsid w:val="005D2BEE"/>
    <w:rsid w:val="005D2DD7"/>
    <w:rsid w:val="005D34FE"/>
    <w:rsid w:val="005D3A45"/>
    <w:rsid w:val="005D3B0E"/>
    <w:rsid w:val="005D4061"/>
    <w:rsid w:val="005D4617"/>
    <w:rsid w:val="005D4685"/>
    <w:rsid w:val="005D4C17"/>
    <w:rsid w:val="005D4EB5"/>
    <w:rsid w:val="005D4F19"/>
    <w:rsid w:val="005D50CC"/>
    <w:rsid w:val="005D51AB"/>
    <w:rsid w:val="005D5288"/>
    <w:rsid w:val="005D594F"/>
    <w:rsid w:val="005D5AE8"/>
    <w:rsid w:val="005D5C69"/>
    <w:rsid w:val="005D5F50"/>
    <w:rsid w:val="005D6396"/>
    <w:rsid w:val="005D647C"/>
    <w:rsid w:val="005D678D"/>
    <w:rsid w:val="005D67DD"/>
    <w:rsid w:val="005D6DBC"/>
    <w:rsid w:val="005D6E4A"/>
    <w:rsid w:val="005D6F0D"/>
    <w:rsid w:val="005D6F88"/>
    <w:rsid w:val="005D71B2"/>
    <w:rsid w:val="005D7A1D"/>
    <w:rsid w:val="005D7A46"/>
    <w:rsid w:val="005D7E53"/>
    <w:rsid w:val="005D7F68"/>
    <w:rsid w:val="005D7FC0"/>
    <w:rsid w:val="005E01AF"/>
    <w:rsid w:val="005E03D4"/>
    <w:rsid w:val="005E061F"/>
    <w:rsid w:val="005E10AA"/>
    <w:rsid w:val="005E137C"/>
    <w:rsid w:val="005E13AE"/>
    <w:rsid w:val="005E141E"/>
    <w:rsid w:val="005E18BE"/>
    <w:rsid w:val="005E1B18"/>
    <w:rsid w:val="005E203A"/>
    <w:rsid w:val="005E261D"/>
    <w:rsid w:val="005E2A69"/>
    <w:rsid w:val="005E2AEC"/>
    <w:rsid w:val="005E2C25"/>
    <w:rsid w:val="005E2DA8"/>
    <w:rsid w:val="005E2EB5"/>
    <w:rsid w:val="005E3044"/>
    <w:rsid w:val="005E3883"/>
    <w:rsid w:val="005E38BC"/>
    <w:rsid w:val="005E3920"/>
    <w:rsid w:val="005E3D2C"/>
    <w:rsid w:val="005E4340"/>
    <w:rsid w:val="005E4884"/>
    <w:rsid w:val="005E4F44"/>
    <w:rsid w:val="005E53B2"/>
    <w:rsid w:val="005E636E"/>
    <w:rsid w:val="005E6384"/>
    <w:rsid w:val="005E7101"/>
    <w:rsid w:val="005E7612"/>
    <w:rsid w:val="005F0379"/>
    <w:rsid w:val="005F05B9"/>
    <w:rsid w:val="005F0E3E"/>
    <w:rsid w:val="005F13ED"/>
    <w:rsid w:val="005F1BCF"/>
    <w:rsid w:val="005F1DE3"/>
    <w:rsid w:val="005F226E"/>
    <w:rsid w:val="005F2276"/>
    <w:rsid w:val="005F25E6"/>
    <w:rsid w:val="005F26DB"/>
    <w:rsid w:val="005F2879"/>
    <w:rsid w:val="005F28A1"/>
    <w:rsid w:val="005F2C8D"/>
    <w:rsid w:val="005F2ECE"/>
    <w:rsid w:val="005F33F7"/>
    <w:rsid w:val="005F3A8A"/>
    <w:rsid w:val="005F3B82"/>
    <w:rsid w:val="005F409D"/>
    <w:rsid w:val="005F4627"/>
    <w:rsid w:val="005F4CD3"/>
    <w:rsid w:val="005F514E"/>
    <w:rsid w:val="005F525B"/>
    <w:rsid w:val="005F6063"/>
    <w:rsid w:val="005F613E"/>
    <w:rsid w:val="005F6A1F"/>
    <w:rsid w:val="005F6CEF"/>
    <w:rsid w:val="005F6DD7"/>
    <w:rsid w:val="005F6F6F"/>
    <w:rsid w:val="005F71B2"/>
    <w:rsid w:val="005F73CB"/>
    <w:rsid w:val="005F74EE"/>
    <w:rsid w:val="005F79AC"/>
    <w:rsid w:val="0060039F"/>
    <w:rsid w:val="00600438"/>
    <w:rsid w:val="00600589"/>
    <w:rsid w:val="00600998"/>
    <w:rsid w:val="00600B2A"/>
    <w:rsid w:val="00600C16"/>
    <w:rsid w:val="00600F37"/>
    <w:rsid w:val="006012A4"/>
    <w:rsid w:val="00601EE5"/>
    <w:rsid w:val="006024BE"/>
    <w:rsid w:val="006026C9"/>
    <w:rsid w:val="00602A41"/>
    <w:rsid w:val="00603196"/>
    <w:rsid w:val="00603A10"/>
    <w:rsid w:val="00603B42"/>
    <w:rsid w:val="00603F8C"/>
    <w:rsid w:val="00604013"/>
    <w:rsid w:val="00604EFD"/>
    <w:rsid w:val="00605098"/>
    <w:rsid w:val="00605999"/>
    <w:rsid w:val="00605A78"/>
    <w:rsid w:val="00606018"/>
    <w:rsid w:val="0060609E"/>
    <w:rsid w:val="0060620B"/>
    <w:rsid w:val="006062DC"/>
    <w:rsid w:val="006064A1"/>
    <w:rsid w:val="00606778"/>
    <w:rsid w:val="00606B86"/>
    <w:rsid w:val="0060726F"/>
    <w:rsid w:val="00607359"/>
    <w:rsid w:val="00607548"/>
    <w:rsid w:val="00607A08"/>
    <w:rsid w:val="00607B26"/>
    <w:rsid w:val="00607CEE"/>
    <w:rsid w:val="00607F55"/>
    <w:rsid w:val="0061027D"/>
    <w:rsid w:val="00610503"/>
    <w:rsid w:val="00610663"/>
    <w:rsid w:val="0061110A"/>
    <w:rsid w:val="0061131F"/>
    <w:rsid w:val="0061145D"/>
    <w:rsid w:val="006119AD"/>
    <w:rsid w:val="00611A04"/>
    <w:rsid w:val="00611C1D"/>
    <w:rsid w:val="00611E63"/>
    <w:rsid w:val="00612285"/>
    <w:rsid w:val="006123E0"/>
    <w:rsid w:val="006125FE"/>
    <w:rsid w:val="00612D95"/>
    <w:rsid w:val="00613362"/>
    <w:rsid w:val="00613CF7"/>
    <w:rsid w:val="00613E31"/>
    <w:rsid w:val="00613F6F"/>
    <w:rsid w:val="006147D4"/>
    <w:rsid w:val="00614888"/>
    <w:rsid w:val="00614C4A"/>
    <w:rsid w:val="00615835"/>
    <w:rsid w:val="006159FB"/>
    <w:rsid w:val="006163D6"/>
    <w:rsid w:val="0061672E"/>
    <w:rsid w:val="0061683A"/>
    <w:rsid w:val="00616965"/>
    <w:rsid w:val="00617DBF"/>
    <w:rsid w:val="00617F47"/>
    <w:rsid w:val="0062040B"/>
    <w:rsid w:val="006207A9"/>
    <w:rsid w:val="006208B0"/>
    <w:rsid w:val="00620B2E"/>
    <w:rsid w:val="00620F56"/>
    <w:rsid w:val="00621211"/>
    <w:rsid w:val="006213D6"/>
    <w:rsid w:val="00621B22"/>
    <w:rsid w:val="00622081"/>
    <w:rsid w:val="0062208E"/>
    <w:rsid w:val="00622497"/>
    <w:rsid w:val="0062249E"/>
    <w:rsid w:val="006224C0"/>
    <w:rsid w:val="0062263D"/>
    <w:rsid w:val="00622BA1"/>
    <w:rsid w:val="00624229"/>
    <w:rsid w:val="00624593"/>
    <w:rsid w:val="0062463B"/>
    <w:rsid w:val="00625082"/>
    <w:rsid w:val="00625274"/>
    <w:rsid w:val="006259D6"/>
    <w:rsid w:val="00625A10"/>
    <w:rsid w:val="00625AA9"/>
    <w:rsid w:val="00626196"/>
    <w:rsid w:val="00626237"/>
    <w:rsid w:val="00626329"/>
    <w:rsid w:val="00626B2A"/>
    <w:rsid w:val="00626D51"/>
    <w:rsid w:val="00626FC0"/>
    <w:rsid w:val="00627006"/>
    <w:rsid w:val="006270DD"/>
    <w:rsid w:val="006277FC"/>
    <w:rsid w:val="00627CFF"/>
    <w:rsid w:val="0063018E"/>
    <w:rsid w:val="006307E5"/>
    <w:rsid w:val="00630B61"/>
    <w:rsid w:val="00630D21"/>
    <w:rsid w:val="00631081"/>
    <w:rsid w:val="00632945"/>
    <w:rsid w:val="00632A69"/>
    <w:rsid w:val="00632B11"/>
    <w:rsid w:val="00632B74"/>
    <w:rsid w:val="00632DF3"/>
    <w:rsid w:val="00633076"/>
    <w:rsid w:val="00633529"/>
    <w:rsid w:val="006336D7"/>
    <w:rsid w:val="006338C2"/>
    <w:rsid w:val="00633BE0"/>
    <w:rsid w:val="00633C3A"/>
    <w:rsid w:val="00633EB0"/>
    <w:rsid w:val="006349B7"/>
    <w:rsid w:val="00634A83"/>
    <w:rsid w:val="006351D7"/>
    <w:rsid w:val="00635616"/>
    <w:rsid w:val="0063565D"/>
    <w:rsid w:val="006359BD"/>
    <w:rsid w:val="00635A67"/>
    <w:rsid w:val="00635E63"/>
    <w:rsid w:val="0063688D"/>
    <w:rsid w:val="00636BB1"/>
    <w:rsid w:val="00636CBB"/>
    <w:rsid w:val="00636E6E"/>
    <w:rsid w:val="00636E85"/>
    <w:rsid w:val="00636F92"/>
    <w:rsid w:val="0063768A"/>
    <w:rsid w:val="00637804"/>
    <w:rsid w:val="00637B34"/>
    <w:rsid w:val="00640155"/>
    <w:rsid w:val="00640609"/>
    <w:rsid w:val="006407CC"/>
    <w:rsid w:val="00640B3C"/>
    <w:rsid w:val="00640E0D"/>
    <w:rsid w:val="00640F7D"/>
    <w:rsid w:val="00641BD1"/>
    <w:rsid w:val="00642173"/>
    <w:rsid w:val="0064292F"/>
    <w:rsid w:val="00643029"/>
    <w:rsid w:val="006438CC"/>
    <w:rsid w:val="00643A58"/>
    <w:rsid w:val="00643BFD"/>
    <w:rsid w:val="00644361"/>
    <w:rsid w:val="006449EF"/>
    <w:rsid w:val="006454A0"/>
    <w:rsid w:val="00645674"/>
    <w:rsid w:val="00645D9F"/>
    <w:rsid w:val="00646217"/>
    <w:rsid w:val="00646540"/>
    <w:rsid w:val="00646769"/>
    <w:rsid w:val="00646942"/>
    <w:rsid w:val="00646E84"/>
    <w:rsid w:val="0065020A"/>
    <w:rsid w:val="0065035B"/>
    <w:rsid w:val="00650383"/>
    <w:rsid w:val="006505C6"/>
    <w:rsid w:val="00650BDA"/>
    <w:rsid w:val="00650CA8"/>
    <w:rsid w:val="00650E4F"/>
    <w:rsid w:val="00651B59"/>
    <w:rsid w:val="00651DA2"/>
    <w:rsid w:val="00651FA5"/>
    <w:rsid w:val="006525B6"/>
    <w:rsid w:val="00652EA2"/>
    <w:rsid w:val="00653180"/>
    <w:rsid w:val="006540CD"/>
    <w:rsid w:val="0065421D"/>
    <w:rsid w:val="0065429B"/>
    <w:rsid w:val="0065434F"/>
    <w:rsid w:val="0065481E"/>
    <w:rsid w:val="00654E7E"/>
    <w:rsid w:val="00655340"/>
    <w:rsid w:val="00655BEA"/>
    <w:rsid w:val="006562E0"/>
    <w:rsid w:val="0065676D"/>
    <w:rsid w:val="0065716A"/>
    <w:rsid w:val="00657A52"/>
    <w:rsid w:val="00657DB5"/>
    <w:rsid w:val="00657E9E"/>
    <w:rsid w:val="00657EEA"/>
    <w:rsid w:val="0066152B"/>
    <w:rsid w:val="00661757"/>
    <w:rsid w:val="00661D5A"/>
    <w:rsid w:val="00661DEB"/>
    <w:rsid w:val="006621AE"/>
    <w:rsid w:val="006628B0"/>
    <w:rsid w:val="00662930"/>
    <w:rsid w:val="00662D98"/>
    <w:rsid w:val="00663286"/>
    <w:rsid w:val="006639BB"/>
    <w:rsid w:val="00663C1F"/>
    <w:rsid w:val="0066444A"/>
    <w:rsid w:val="006645DF"/>
    <w:rsid w:val="006646FA"/>
    <w:rsid w:val="00664E30"/>
    <w:rsid w:val="00664ECB"/>
    <w:rsid w:val="00664FCC"/>
    <w:rsid w:val="00665435"/>
    <w:rsid w:val="00665A7A"/>
    <w:rsid w:val="00665BC0"/>
    <w:rsid w:val="006661A3"/>
    <w:rsid w:val="00666A7D"/>
    <w:rsid w:val="00666ACD"/>
    <w:rsid w:val="00666B03"/>
    <w:rsid w:val="00667509"/>
    <w:rsid w:val="0066756C"/>
    <w:rsid w:val="00667C2C"/>
    <w:rsid w:val="00667FE7"/>
    <w:rsid w:val="0067005E"/>
    <w:rsid w:val="00670089"/>
    <w:rsid w:val="0067063B"/>
    <w:rsid w:val="006707FD"/>
    <w:rsid w:val="00670FFF"/>
    <w:rsid w:val="00671094"/>
    <w:rsid w:val="006711EA"/>
    <w:rsid w:val="006713A5"/>
    <w:rsid w:val="0067230F"/>
    <w:rsid w:val="00672907"/>
    <w:rsid w:val="00672F34"/>
    <w:rsid w:val="006737B5"/>
    <w:rsid w:val="00673B0C"/>
    <w:rsid w:val="00673E18"/>
    <w:rsid w:val="00674196"/>
    <w:rsid w:val="006744DF"/>
    <w:rsid w:val="00674552"/>
    <w:rsid w:val="006753B4"/>
    <w:rsid w:val="0067543B"/>
    <w:rsid w:val="00675584"/>
    <w:rsid w:val="00675B73"/>
    <w:rsid w:val="00675BFE"/>
    <w:rsid w:val="00675C57"/>
    <w:rsid w:val="0067619F"/>
    <w:rsid w:val="00676650"/>
    <w:rsid w:val="006768F9"/>
    <w:rsid w:val="00676948"/>
    <w:rsid w:val="00676AF0"/>
    <w:rsid w:val="00676B4F"/>
    <w:rsid w:val="00677039"/>
    <w:rsid w:val="00677CE7"/>
    <w:rsid w:val="00677CEC"/>
    <w:rsid w:val="00680CB7"/>
    <w:rsid w:val="00680F67"/>
    <w:rsid w:val="00680F93"/>
    <w:rsid w:val="00681857"/>
    <w:rsid w:val="00681927"/>
    <w:rsid w:val="00681ED7"/>
    <w:rsid w:val="00681FB0"/>
    <w:rsid w:val="00682695"/>
    <w:rsid w:val="00682A56"/>
    <w:rsid w:val="00682B86"/>
    <w:rsid w:val="00682C68"/>
    <w:rsid w:val="006831F1"/>
    <w:rsid w:val="00684594"/>
    <w:rsid w:val="0068480B"/>
    <w:rsid w:val="0068585F"/>
    <w:rsid w:val="00685D93"/>
    <w:rsid w:val="00685E5E"/>
    <w:rsid w:val="00685E94"/>
    <w:rsid w:val="006860F9"/>
    <w:rsid w:val="00686A6B"/>
    <w:rsid w:val="00686F13"/>
    <w:rsid w:val="006871C6"/>
    <w:rsid w:val="0068733E"/>
    <w:rsid w:val="00687A08"/>
    <w:rsid w:val="00690062"/>
    <w:rsid w:val="00690261"/>
    <w:rsid w:val="0069062E"/>
    <w:rsid w:val="00690CDC"/>
    <w:rsid w:val="00690CEA"/>
    <w:rsid w:val="00691424"/>
    <w:rsid w:val="0069142C"/>
    <w:rsid w:val="00691660"/>
    <w:rsid w:val="0069252E"/>
    <w:rsid w:val="00692BF0"/>
    <w:rsid w:val="00692FAE"/>
    <w:rsid w:val="006931FB"/>
    <w:rsid w:val="006934BD"/>
    <w:rsid w:val="0069394F"/>
    <w:rsid w:val="00693C55"/>
    <w:rsid w:val="0069454C"/>
    <w:rsid w:val="006956B1"/>
    <w:rsid w:val="0069572F"/>
    <w:rsid w:val="006957E2"/>
    <w:rsid w:val="0069635B"/>
    <w:rsid w:val="006969C8"/>
    <w:rsid w:val="00696CB5"/>
    <w:rsid w:val="00696D86"/>
    <w:rsid w:val="00696E6A"/>
    <w:rsid w:val="006976D8"/>
    <w:rsid w:val="0069774C"/>
    <w:rsid w:val="006A016E"/>
    <w:rsid w:val="006A02FE"/>
    <w:rsid w:val="006A04B6"/>
    <w:rsid w:val="006A0A37"/>
    <w:rsid w:val="006A12F8"/>
    <w:rsid w:val="006A1674"/>
    <w:rsid w:val="006A1926"/>
    <w:rsid w:val="006A1A78"/>
    <w:rsid w:val="006A1C69"/>
    <w:rsid w:val="006A2414"/>
    <w:rsid w:val="006A2448"/>
    <w:rsid w:val="006A24D8"/>
    <w:rsid w:val="006A2A3D"/>
    <w:rsid w:val="006A2D2F"/>
    <w:rsid w:val="006A2E1B"/>
    <w:rsid w:val="006A30E0"/>
    <w:rsid w:val="006A30E8"/>
    <w:rsid w:val="006A3381"/>
    <w:rsid w:val="006A3A6F"/>
    <w:rsid w:val="006A3CEA"/>
    <w:rsid w:val="006A3D71"/>
    <w:rsid w:val="006A3DFD"/>
    <w:rsid w:val="006A3E2D"/>
    <w:rsid w:val="006A40C0"/>
    <w:rsid w:val="006A43AF"/>
    <w:rsid w:val="006A4A58"/>
    <w:rsid w:val="006A4CD7"/>
    <w:rsid w:val="006A5053"/>
    <w:rsid w:val="006A5435"/>
    <w:rsid w:val="006A548C"/>
    <w:rsid w:val="006A5B6A"/>
    <w:rsid w:val="006A5BFB"/>
    <w:rsid w:val="006A5C1D"/>
    <w:rsid w:val="006A637C"/>
    <w:rsid w:val="006A63DF"/>
    <w:rsid w:val="006A65BD"/>
    <w:rsid w:val="006A65D2"/>
    <w:rsid w:val="006A687E"/>
    <w:rsid w:val="006A6A07"/>
    <w:rsid w:val="006A6DE3"/>
    <w:rsid w:val="006A7AE3"/>
    <w:rsid w:val="006B0567"/>
    <w:rsid w:val="006B0C39"/>
    <w:rsid w:val="006B0D07"/>
    <w:rsid w:val="006B10EA"/>
    <w:rsid w:val="006B1C61"/>
    <w:rsid w:val="006B1DAE"/>
    <w:rsid w:val="006B23D3"/>
    <w:rsid w:val="006B2775"/>
    <w:rsid w:val="006B2FFE"/>
    <w:rsid w:val="006B3706"/>
    <w:rsid w:val="006B377F"/>
    <w:rsid w:val="006B3882"/>
    <w:rsid w:val="006B3CE9"/>
    <w:rsid w:val="006B3DE1"/>
    <w:rsid w:val="006B5107"/>
    <w:rsid w:val="006B58A4"/>
    <w:rsid w:val="006B5A0D"/>
    <w:rsid w:val="006B5B35"/>
    <w:rsid w:val="006B628D"/>
    <w:rsid w:val="006B62E2"/>
    <w:rsid w:val="006B6554"/>
    <w:rsid w:val="006B657F"/>
    <w:rsid w:val="006B67FA"/>
    <w:rsid w:val="006B6FE3"/>
    <w:rsid w:val="006B7131"/>
    <w:rsid w:val="006B71C3"/>
    <w:rsid w:val="006B71D5"/>
    <w:rsid w:val="006B79ED"/>
    <w:rsid w:val="006B7B6B"/>
    <w:rsid w:val="006B7ED9"/>
    <w:rsid w:val="006C08DF"/>
    <w:rsid w:val="006C0C4E"/>
    <w:rsid w:val="006C1350"/>
    <w:rsid w:val="006C1640"/>
    <w:rsid w:val="006C179B"/>
    <w:rsid w:val="006C19B0"/>
    <w:rsid w:val="006C1FE2"/>
    <w:rsid w:val="006C2183"/>
    <w:rsid w:val="006C21B2"/>
    <w:rsid w:val="006C21B9"/>
    <w:rsid w:val="006C2536"/>
    <w:rsid w:val="006C2581"/>
    <w:rsid w:val="006C2A8F"/>
    <w:rsid w:val="006C343B"/>
    <w:rsid w:val="006C3505"/>
    <w:rsid w:val="006C3556"/>
    <w:rsid w:val="006C3D5D"/>
    <w:rsid w:val="006C4BE4"/>
    <w:rsid w:val="006C4F32"/>
    <w:rsid w:val="006C5077"/>
    <w:rsid w:val="006C509D"/>
    <w:rsid w:val="006C5581"/>
    <w:rsid w:val="006C62B2"/>
    <w:rsid w:val="006C6649"/>
    <w:rsid w:val="006C68C2"/>
    <w:rsid w:val="006C68CC"/>
    <w:rsid w:val="006C697F"/>
    <w:rsid w:val="006C6C20"/>
    <w:rsid w:val="006C701B"/>
    <w:rsid w:val="006C7487"/>
    <w:rsid w:val="006C7B96"/>
    <w:rsid w:val="006C7E6E"/>
    <w:rsid w:val="006D09AB"/>
    <w:rsid w:val="006D0B1C"/>
    <w:rsid w:val="006D0B2B"/>
    <w:rsid w:val="006D0C39"/>
    <w:rsid w:val="006D1401"/>
    <w:rsid w:val="006D20F1"/>
    <w:rsid w:val="006D2269"/>
    <w:rsid w:val="006D2508"/>
    <w:rsid w:val="006D2ED1"/>
    <w:rsid w:val="006D2F95"/>
    <w:rsid w:val="006D32AA"/>
    <w:rsid w:val="006D32F2"/>
    <w:rsid w:val="006D3B80"/>
    <w:rsid w:val="006D3C75"/>
    <w:rsid w:val="006D3DDF"/>
    <w:rsid w:val="006D3EED"/>
    <w:rsid w:val="006D417F"/>
    <w:rsid w:val="006D47EB"/>
    <w:rsid w:val="006D4BE4"/>
    <w:rsid w:val="006D4FB9"/>
    <w:rsid w:val="006D5049"/>
    <w:rsid w:val="006D50E1"/>
    <w:rsid w:val="006D5AF3"/>
    <w:rsid w:val="006D5D07"/>
    <w:rsid w:val="006D5EAC"/>
    <w:rsid w:val="006D6B7C"/>
    <w:rsid w:val="006D6C64"/>
    <w:rsid w:val="006D6D05"/>
    <w:rsid w:val="006D6FD7"/>
    <w:rsid w:val="006D7189"/>
    <w:rsid w:val="006D71DC"/>
    <w:rsid w:val="006D74FB"/>
    <w:rsid w:val="006D77A8"/>
    <w:rsid w:val="006E02A2"/>
    <w:rsid w:val="006E09CB"/>
    <w:rsid w:val="006E0B86"/>
    <w:rsid w:val="006E0BF1"/>
    <w:rsid w:val="006E0CC2"/>
    <w:rsid w:val="006E0D11"/>
    <w:rsid w:val="006E0DEC"/>
    <w:rsid w:val="006E0F2F"/>
    <w:rsid w:val="006E106D"/>
    <w:rsid w:val="006E1244"/>
    <w:rsid w:val="006E1932"/>
    <w:rsid w:val="006E1E58"/>
    <w:rsid w:val="006E1FB7"/>
    <w:rsid w:val="006E21B0"/>
    <w:rsid w:val="006E2FA8"/>
    <w:rsid w:val="006E3855"/>
    <w:rsid w:val="006E3A0D"/>
    <w:rsid w:val="006E3BAD"/>
    <w:rsid w:val="006E3EB7"/>
    <w:rsid w:val="006E45C9"/>
    <w:rsid w:val="006E463F"/>
    <w:rsid w:val="006E4B6A"/>
    <w:rsid w:val="006E53E2"/>
    <w:rsid w:val="006E5B18"/>
    <w:rsid w:val="006E5EA5"/>
    <w:rsid w:val="006E61EC"/>
    <w:rsid w:val="006E629C"/>
    <w:rsid w:val="006E6782"/>
    <w:rsid w:val="006E7468"/>
    <w:rsid w:val="006E7589"/>
    <w:rsid w:val="006E7BB1"/>
    <w:rsid w:val="006E7D27"/>
    <w:rsid w:val="006F03B2"/>
    <w:rsid w:val="006F0487"/>
    <w:rsid w:val="006F08B1"/>
    <w:rsid w:val="006F0952"/>
    <w:rsid w:val="006F0BD5"/>
    <w:rsid w:val="006F0EA8"/>
    <w:rsid w:val="006F11E4"/>
    <w:rsid w:val="006F15F6"/>
    <w:rsid w:val="006F1952"/>
    <w:rsid w:val="006F1CAF"/>
    <w:rsid w:val="006F1F4D"/>
    <w:rsid w:val="006F239A"/>
    <w:rsid w:val="006F2AE7"/>
    <w:rsid w:val="006F2C4C"/>
    <w:rsid w:val="006F2DA3"/>
    <w:rsid w:val="006F30B5"/>
    <w:rsid w:val="006F366F"/>
    <w:rsid w:val="006F40DC"/>
    <w:rsid w:val="006F45C6"/>
    <w:rsid w:val="006F491F"/>
    <w:rsid w:val="006F4982"/>
    <w:rsid w:val="006F5E04"/>
    <w:rsid w:val="006F5EC0"/>
    <w:rsid w:val="006F60D2"/>
    <w:rsid w:val="006F6AA1"/>
    <w:rsid w:val="006F7058"/>
    <w:rsid w:val="006F73A7"/>
    <w:rsid w:val="006F755F"/>
    <w:rsid w:val="006F7717"/>
    <w:rsid w:val="006F78C0"/>
    <w:rsid w:val="00700337"/>
    <w:rsid w:val="00700BB9"/>
    <w:rsid w:val="00700FBE"/>
    <w:rsid w:val="00701405"/>
    <w:rsid w:val="00701C73"/>
    <w:rsid w:val="00701F05"/>
    <w:rsid w:val="007025C3"/>
    <w:rsid w:val="007029B7"/>
    <w:rsid w:val="00702AED"/>
    <w:rsid w:val="00702F80"/>
    <w:rsid w:val="007037BC"/>
    <w:rsid w:val="0070393F"/>
    <w:rsid w:val="00703A83"/>
    <w:rsid w:val="00703DFB"/>
    <w:rsid w:val="007040D9"/>
    <w:rsid w:val="00704332"/>
    <w:rsid w:val="0070449D"/>
    <w:rsid w:val="00704B21"/>
    <w:rsid w:val="00705A81"/>
    <w:rsid w:val="00705FF0"/>
    <w:rsid w:val="007060B7"/>
    <w:rsid w:val="0070681B"/>
    <w:rsid w:val="00706D95"/>
    <w:rsid w:val="007073BF"/>
    <w:rsid w:val="00707406"/>
    <w:rsid w:val="0070791A"/>
    <w:rsid w:val="00707F46"/>
    <w:rsid w:val="00707FEC"/>
    <w:rsid w:val="00707FF1"/>
    <w:rsid w:val="0071006C"/>
    <w:rsid w:val="00710970"/>
    <w:rsid w:val="007109AF"/>
    <w:rsid w:val="007113CE"/>
    <w:rsid w:val="0071157D"/>
    <w:rsid w:val="00711A4D"/>
    <w:rsid w:val="00711C6D"/>
    <w:rsid w:val="0071217B"/>
    <w:rsid w:val="00712457"/>
    <w:rsid w:val="00712ABB"/>
    <w:rsid w:val="00712D95"/>
    <w:rsid w:val="00712F0A"/>
    <w:rsid w:val="007132FC"/>
    <w:rsid w:val="00713378"/>
    <w:rsid w:val="00713621"/>
    <w:rsid w:val="00713B3C"/>
    <w:rsid w:val="0071456E"/>
    <w:rsid w:val="00714B96"/>
    <w:rsid w:val="00714D4D"/>
    <w:rsid w:val="00714EE2"/>
    <w:rsid w:val="00714F43"/>
    <w:rsid w:val="00715377"/>
    <w:rsid w:val="007153CA"/>
    <w:rsid w:val="00715494"/>
    <w:rsid w:val="007156BA"/>
    <w:rsid w:val="0071595F"/>
    <w:rsid w:val="00715CC8"/>
    <w:rsid w:val="00716172"/>
    <w:rsid w:val="0071676A"/>
    <w:rsid w:val="00716D45"/>
    <w:rsid w:val="00716E02"/>
    <w:rsid w:val="00717816"/>
    <w:rsid w:val="0071789B"/>
    <w:rsid w:val="00717AB6"/>
    <w:rsid w:val="007202B9"/>
    <w:rsid w:val="0072067F"/>
    <w:rsid w:val="00720B26"/>
    <w:rsid w:val="00720D9C"/>
    <w:rsid w:val="00721110"/>
    <w:rsid w:val="007212FA"/>
    <w:rsid w:val="00721322"/>
    <w:rsid w:val="007214FD"/>
    <w:rsid w:val="00721582"/>
    <w:rsid w:val="00721A4E"/>
    <w:rsid w:val="00721C67"/>
    <w:rsid w:val="00721D48"/>
    <w:rsid w:val="00721FA5"/>
    <w:rsid w:val="0072251D"/>
    <w:rsid w:val="007227E1"/>
    <w:rsid w:val="00722C69"/>
    <w:rsid w:val="00722CB7"/>
    <w:rsid w:val="0072318B"/>
    <w:rsid w:val="007233B9"/>
    <w:rsid w:val="007233CC"/>
    <w:rsid w:val="007235DD"/>
    <w:rsid w:val="007238E8"/>
    <w:rsid w:val="00723E0C"/>
    <w:rsid w:val="00724960"/>
    <w:rsid w:val="00724ADE"/>
    <w:rsid w:val="00724BEA"/>
    <w:rsid w:val="00724EA9"/>
    <w:rsid w:val="007250DB"/>
    <w:rsid w:val="00725268"/>
    <w:rsid w:val="00727238"/>
    <w:rsid w:val="00727337"/>
    <w:rsid w:val="007273C3"/>
    <w:rsid w:val="007278E5"/>
    <w:rsid w:val="00727A96"/>
    <w:rsid w:val="00730BE0"/>
    <w:rsid w:val="00730CD4"/>
    <w:rsid w:val="007310B1"/>
    <w:rsid w:val="007312D8"/>
    <w:rsid w:val="00731823"/>
    <w:rsid w:val="0073193E"/>
    <w:rsid w:val="00731992"/>
    <w:rsid w:val="00731BD5"/>
    <w:rsid w:val="007320B4"/>
    <w:rsid w:val="007321EF"/>
    <w:rsid w:val="0073224A"/>
    <w:rsid w:val="0073224F"/>
    <w:rsid w:val="007327A7"/>
    <w:rsid w:val="00732AFF"/>
    <w:rsid w:val="00732C33"/>
    <w:rsid w:val="007335FA"/>
    <w:rsid w:val="00733666"/>
    <w:rsid w:val="00733CEE"/>
    <w:rsid w:val="007340B5"/>
    <w:rsid w:val="00734515"/>
    <w:rsid w:val="00734928"/>
    <w:rsid w:val="00734DF0"/>
    <w:rsid w:val="00735AED"/>
    <w:rsid w:val="00735DC4"/>
    <w:rsid w:val="00735E48"/>
    <w:rsid w:val="007360F1"/>
    <w:rsid w:val="00736601"/>
    <w:rsid w:val="007368B6"/>
    <w:rsid w:val="00737743"/>
    <w:rsid w:val="00737D97"/>
    <w:rsid w:val="007400AB"/>
    <w:rsid w:val="00740BDF"/>
    <w:rsid w:val="00740F40"/>
    <w:rsid w:val="00742983"/>
    <w:rsid w:val="00742C1B"/>
    <w:rsid w:val="007435BD"/>
    <w:rsid w:val="00743A0B"/>
    <w:rsid w:val="00743E0C"/>
    <w:rsid w:val="00743FC4"/>
    <w:rsid w:val="007442C0"/>
    <w:rsid w:val="0074430C"/>
    <w:rsid w:val="00744539"/>
    <w:rsid w:val="00744977"/>
    <w:rsid w:val="00744CC6"/>
    <w:rsid w:val="00745550"/>
    <w:rsid w:val="007455D8"/>
    <w:rsid w:val="007457A6"/>
    <w:rsid w:val="007457FF"/>
    <w:rsid w:val="0074592D"/>
    <w:rsid w:val="00745C19"/>
    <w:rsid w:val="00745C8A"/>
    <w:rsid w:val="0074613E"/>
    <w:rsid w:val="0074784D"/>
    <w:rsid w:val="00747CB8"/>
    <w:rsid w:val="007504B1"/>
    <w:rsid w:val="00750A84"/>
    <w:rsid w:val="00750F4C"/>
    <w:rsid w:val="00751095"/>
    <w:rsid w:val="007510F6"/>
    <w:rsid w:val="00751199"/>
    <w:rsid w:val="00751C0E"/>
    <w:rsid w:val="00751C5D"/>
    <w:rsid w:val="0075220B"/>
    <w:rsid w:val="00752361"/>
    <w:rsid w:val="00752519"/>
    <w:rsid w:val="0075264C"/>
    <w:rsid w:val="00752685"/>
    <w:rsid w:val="007528C1"/>
    <w:rsid w:val="00752C4C"/>
    <w:rsid w:val="00752E86"/>
    <w:rsid w:val="007531B6"/>
    <w:rsid w:val="00753334"/>
    <w:rsid w:val="0075342B"/>
    <w:rsid w:val="007534CD"/>
    <w:rsid w:val="00754471"/>
    <w:rsid w:val="007544FE"/>
    <w:rsid w:val="00754930"/>
    <w:rsid w:val="00754A3A"/>
    <w:rsid w:val="00754B16"/>
    <w:rsid w:val="00754B2C"/>
    <w:rsid w:val="00754CF6"/>
    <w:rsid w:val="00754DB4"/>
    <w:rsid w:val="00754F22"/>
    <w:rsid w:val="007551A9"/>
    <w:rsid w:val="0075548D"/>
    <w:rsid w:val="0075597D"/>
    <w:rsid w:val="00755AC1"/>
    <w:rsid w:val="00755D32"/>
    <w:rsid w:val="0075634F"/>
    <w:rsid w:val="0075663D"/>
    <w:rsid w:val="007566FA"/>
    <w:rsid w:val="007569A0"/>
    <w:rsid w:val="007569EE"/>
    <w:rsid w:val="00756D54"/>
    <w:rsid w:val="00756E14"/>
    <w:rsid w:val="00757337"/>
    <w:rsid w:val="007574FA"/>
    <w:rsid w:val="00757770"/>
    <w:rsid w:val="00757789"/>
    <w:rsid w:val="00757E28"/>
    <w:rsid w:val="00757EFA"/>
    <w:rsid w:val="0076021C"/>
    <w:rsid w:val="00760518"/>
    <w:rsid w:val="0076082F"/>
    <w:rsid w:val="00760A40"/>
    <w:rsid w:val="00760ADE"/>
    <w:rsid w:val="00760C8A"/>
    <w:rsid w:val="00761336"/>
    <w:rsid w:val="0076169E"/>
    <w:rsid w:val="00761A81"/>
    <w:rsid w:val="00761EE8"/>
    <w:rsid w:val="00761F01"/>
    <w:rsid w:val="00762031"/>
    <w:rsid w:val="0076282E"/>
    <w:rsid w:val="007628CB"/>
    <w:rsid w:val="00762A8A"/>
    <w:rsid w:val="00762B15"/>
    <w:rsid w:val="007633F5"/>
    <w:rsid w:val="0076373F"/>
    <w:rsid w:val="007637BE"/>
    <w:rsid w:val="00763919"/>
    <w:rsid w:val="0076410E"/>
    <w:rsid w:val="00764D78"/>
    <w:rsid w:val="00765709"/>
    <w:rsid w:val="00765AB0"/>
    <w:rsid w:val="00765C3A"/>
    <w:rsid w:val="00765D96"/>
    <w:rsid w:val="00766015"/>
    <w:rsid w:val="007667E7"/>
    <w:rsid w:val="00766922"/>
    <w:rsid w:val="00767066"/>
    <w:rsid w:val="00767F27"/>
    <w:rsid w:val="0077004A"/>
    <w:rsid w:val="00770610"/>
    <w:rsid w:val="00770848"/>
    <w:rsid w:val="007709F5"/>
    <w:rsid w:val="00770B74"/>
    <w:rsid w:val="00771097"/>
    <w:rsid w:val="007711D2"/>
    <w:rsid w:val="007712C5"/>
    <w:rsid w:val="007712DC"/>
    <w:rsid w:val="00771389"/>
    <w:rsid w:val="007714C7"/>
    <w:rsid w:val="007715F5"/>
    <w:rsid w:val="00771FC8"/>
    <w:rsid w:val="007720A1"/>
    <w:rsid w:val="00772779"/>
    <w:rsid w:val="00772E84"/>
    <w:rsid w:val="00772F7A"/>
    <w:rsid w:val="00773416"/>
    <w:rsid w:val="00773462"/>
    <w:rsid w:val="00773618"/>
    <w:rsid w:val="00774628"/>
    <w:rsid w:val="0077466C"/>
    <w:rsid w:val="007748D4"/>
    <w:rsid w:val="00775054"/>
    <w:rsid w:val="00775188"/>
    <w:rsid w:val="007753ED"/>
    <w:rsid w:val="0077557F"/>
    <w:rsid w:val="0077574F"/>
    <w:rsid w:val="00775AF4"/>
    <w:rsid w:val="00775BD9"/>
    <w:rsid w:val="00776372"/>
    <w:rsid w:val="0077676D"/>
    <w:rsid w:val="00776796"/>
    <w:rsid w:val="00776862"/>
    <w:rsid w:val="00776906"/>
    <w:rsid w:val="00776F0A"/>
    <w:rsid w:val="0077741E"/>
    <w:rsid w:val="00777898"/>
    <w:rsid w:val="00777A19"/>
    <w:rsid w:val="00777A87"/>
    <w:rsid w:val="00777F51"/>
    <w:rsid w:val="0078013B"/>
    <w:rsid w:val="00780530"/>
    <w:rsid w:val="00780543"/>
    <w:rsid w:val="00781281"/>
    <w:rsid w:val="0078163C"/>
    <w:rsid w:val="00781AA8"/>
    <w:rsid w:val="0078220A"/>
    <w:rsid w:val="00782446"/>
    <w:rsid w:val="00782581"/>
    <w:rsid w:val="00782BD7"/>
    <w:rsid w:val="00782BEB"/>
    <w:rsid w:val="00782BEC"/>
    <w:rsid w:val="00782D4B"/>
    <w:rsid w:val="0078346A"/>
    <w:rsid w:val="00783DB4"/>
    <w:rsid w:val="0078402E"/>
    <w:rsid w:val="00784E26"/>
    <w:rsid w:val="00785303"/>
    <w:rsid w:val="0078546C"/>
    <w:rsid w:val="0078558D"/>
    <w:rsid w:val="00785BFC"/>
    <w:rsid w:val="00785FF5"/>
    <w:rsid w:val="00786096"/>
    <w:rsid w:val="00786789"/>
    <w:rsid w:val="00787943"/>
    <w:rsid w:val="00787B6C"/>
    <w:rsid w:val="00787C4E"/>
    <w:rsid w:val="00790DFF"/>
    <w:rsid w:val="00790E82"/>
    <w:rsid w:val="00791042"/>
    <w:rsid w:val="0079107B"/>
    <w:rsid w:val="0079142B"/>
    <w:rsid w:val="00791486"/>
    <w:rsid w:val="007914FA"/>
    <w:rsid w:val="00791595"/>
    <w:rsid w:val="00791C8D"/>
    <w:rsid w:val="00791E13"/>
    <w:rsid w:val="00791F8B"/>
    <w:rsid w:val="00791FBC"/>
    <w:rsid w:val="007924BC"/>
    <w:rsid w:val="00792773"/>
    <w:rsid w:val="007928BB"/>
    <w:rsid w:val="007928EC"/>
    <w:rsid w:val="00792BBB"/>
    <w:rsid w:val="00792EE2"/>
    <w:rsid w:val="007932D5"/>
    <w:rsid w:val="00793569"/>
    <w:rsid w:val="0079363F"/>
    <w:rsid w:val="00793AD9"/>
    <w:rsid w:val="00793E97"/>
    <w:rsid w:val="007948CC"/>
    <w:rsid w:val="00794B6C"/>
    <w:rsid w:val="00794FE7"/>
    <w:rsid w:val="00795350"/>
    <w:rsid w:val="0079552B"/>
    <w:rsid w:val="00795586"/>
    <w:rsid w:val="00796030"/>
    <w:rsid w:val="00796563"/>
    <w:rsid w:val="00796F7B"/>
    <w:rsid w:val="00797332"/>
    <w:rsid w:val="007976BC"/>
    <w:rsid w:val="007978E3"/>
    <w:rsid w:val="00797E0B"/>
    <w:rsid w:val="007A05D7"/>
    <w:rsid w:val="007A1B19"/>
    <w:rsid w:val="007A1C51"/>
    <w:rsid w:val="007A28DC"/>
    <w:rsid w:val="007A2B98"/>
    <w:rsid w:val="007A2D4F"/>
    <w:rsid w:val="007A2FE2"/>
    <w:rsid w:val="007A2FE4"/>
    <w:rsid w:val="007A3007"/>
    <w:rsid w:val="007A3013"/>
    <w:rsid w:val="007A31D8"/>
    <w:rsid w:val="007A3BBF"/>
    <w:rsid w:val="007A3E40"/>
    <w:rsid w:val="007A4747"/>
    <w:rsid w:val="007A4A5A"/>
    <w:rsid w:val="007A4C5A"/>
    <w:rsid w:val="007A4F56"/>
    <w:rsid w:val="007A50D8"/>
    <w:rsid w:val="007A5224"/>
    <w:rsid w:val="007A5418"/>
    <w:rsid w:val="007A5BE3"/>
    <w:rsid w:val="007A5CC5"/>
    <w:rsid w:val="007A5CFF"/>
    <w:rsid w:val="007A5DDE"/>
    <w:rsid w:val="007A6023"/>
    <w:rsid w:val="007A6694"/>
    <w:rsid w:val="007A6D0F"/>
    <w:rsid w:val="007A71DB"/>
    <w:rsid w:val="007A7264"/>
    <w:rsid w:val="007A764E"/>
    <w:rsid w:val="007A7A65"/>
    <w:rsid w:val="007A7CAF"/>
    <w:rsid w:val="007A7F57"/>
    <w:rsid w:val="007B03DF"/>
    <w:rsid w:val="007B04AC"/>
    <w:rsid w:val="007B0AD8"/>
    <w:rsid w:val="007B0C80"/>
    <w:rsid w:val="007B1107"/>
    <w:rsid w:val="007B1238"/>
    <w:rsid w:val="007B143B"/>
    <w:rsid w:val="007B1E2E"/>
    <w:rsid w:val="007B1E4C"/>
    <w:rsid w:val="007B1EE6"/>
    <w:rsid w:val="007B2038"/>
    <w:rsid w:val="007B221E"/>
    <w:rsid w:val="007B22B0"/>
    <w:rsid w:val="007B2772"/>
    <w:rsid w:val="007B3A8E"/>
    <w:rsid w:val="007B4868"/>
    <w:rsid w:val="007B48EA"/>
    <w:rsid w:val="007B4A68"/>
    <w:rsid w:val="007B4EA6"/>
    <w:rsid w:val="007B4F62"/>
    <w:rsid w:val="007B503B"/>
    <w:rsid w:val="007B53D6"/>
    <w:rsid w:val="007B5578"/>
    <w:rsid w:val="007B5A77"/>
    <w:rsid w:val="007B5C65"/>
    <w:rsid w:val="007B5D0B"/>
    <w:rsid w:val="007B6B2A"/>
    <w:rsid w:val="007B6BCE"/>
    <w:rsid w:val="007B7569"/>
    <w:rsid w:val="007B7A25"/>
    <w:rsid w:val="007C050A"/>
    <w:rsid w:val="007C0BF9"/>
    <w:rsid w:val="007C15BF"/>
    <w:rsid w:val="007C1764"/>
    <w:rsid w:val="007C1DF2"/>
    <w:rsid w:val="007C1F2E"/>
    <w:rsid w:val="007C3124"/>
    <w:rsid w:val="007C32EE"/>
    <w:rsid w:val="007C348E"/>
    <w:rsid w:val="007C3491"/>
    <w:rsid w:val="007C34AE"/>
    <w:rsid w:val="007C3AA6"/>
    <w:rsid w:val="007C41A6"/>
    <w:rsid w:val="007C468D"/>
    <w:rsid w:val="007C49D0"/>
    <w:rsid w:val="007C4B45"/>
    <w:rsid w:val="007C4D17"/>
    <w:rsid w:val="007C4E74"/>
    <w:rsid w:val="007C516B"/>
    <w:rsid w:val="007C51FA"/>
    <w:rsid w:val="007C5A97"/>
    <w:rsid w:val="007C5D55"/>
    <w:rsid w:val="007C5FFA"/>
    <w:rsid w:val="007C640B"/>
    <w:rsid w:val="007C640D"/>
    <w:rsid w:val="007C65EE"/>
    <w:rsid w:val="007C683E"/>
    <w:rsid w:val="007C6CE1"/>
    <w:rsid w:val="007C6FE4"/>
    <w:rsid w:val="007C7311"/>
    <w:rsid w:val="007C7E7A"/>
    <w:rsid w:val="007C7EA2"/>
    <w:rsid w:val="007D02B5"/>
    <w:rsid w:val="007D0AB7"/>
    <w:rsid w:val="007D0C21"/>
    <w:rsid w:val="007D1132"/>
    <w:rsid w:val="007D11C3"/>
    <w:rsid w:val="007D1CE8"/>
    <w:rsid w:val="007D208B"/>
    <w:rsid w:val="007D2413"/>
    <w:rsid w:val="007D268B"/>
    <w:rsid w:val="007D26B7"/>
    <w:rsid w:val="007D29B7"/>
    <w:rsid w:val="007D2BBB"/>
    <w:rsid w:val="007D31A1"/>
    <w:rsid w:val="007D3264"/>
    <w:rsid w:val="007D3471"/>
    <w:rsid w:val="007D39CD"/>
    <w:rsid w:val="007D3A9A"/>
    <w:rsid w:val="007D3B66"/>
    <w:rsid w:val="007D3D6F"/>
    <w:rsid w:val="007D3E46"/>
    <w:rsid w:val="007D4519"/>
    <w:rsid w:val="007D4778"/>
    <w:rsid w:val="007D48A5"/>
    <w:rsid w:val="007D494A"/>
    <w:rsid w:val="007D4B00"/>
    <w:rsid w:val="007D4C22"/>
    <w:rsid w:val="007D4D0B"/>
    <w:rsid w:val="007D4EB2"/>
    <w:rsid w:val="007D5101"/>
    <w:rsid w:val="007D5311"/>
    <w:rsid w:val="007D570E"/>
    <w:rsid w:val="007D5F3D"/>
    <w:rsid w:val="007D5FB3"/>
    <w:rsid w:val="007D6449"/>
    <w:rsid w:val="007D66AB"/>
    <w:rsid w:val="007D730F"/>
    <w:rsid w:val="007D7DD1"/>
    <w:rsid w:val="007D7E84"/>
    <w:rsid w:val="007E0475"/>
    <w:rsid w:val="007E0942"/>
    <w:rsid w:val="007E09CB"/>
    <w:rsid w:val="007E0C1B"/>
    <w:rsid w:val="007E0CE1"/>
    <w:rsid w:val="007E1264"/>
    <w:rsid w:val="007E172C"/>
    <w:rsid w:val="007E2420"/>
    <w:rsid w:val="007E2ACF"/>
    <w:rsid w:val="007E2BC5"/>
    <w:rsid w:val="007E2C8D"/>
    <w:rsid w:val="007E31C7"/>
    <w:rsid w:val="007E35C9"/>
    <w:rsid w:val="007E4A22"/>
    <w:rsid w:val="007E4FEF"/>
    <w:rsid w:val="007E5731"/>
    <w:rsid w:val="007E628C"/>
    <w:rsid w:val="007E6298"/>
    <w:rsid w:val="007E6725"/>
    <w:rsid w:val="007E690B"/>
    <w:rsid w:val="007E69BE"/>
    <w:rsid w:val="007E6AB0"/>
    <w:rsid w:val="007E6B65"/>
    <w:rsid w:val="007E73A9"/>
    <w:rsid w:val="007E76EE"/>
    <w:rsid w:val="007E784B"/>
    <w:rsid w:val="007E7C45"/>
    <w:rsid w:val="007E7E47"/>
    <w:rsid w:val="007E7EC4"/>
    <w:rsid w:val="007F00EE"/>
    <w:rsid w:val="007F00F4"/>
    <w:rsid w:val="007F015A"/>
    <w:rsid w:val="007F0625"/>
    <w:rsid w:val="007F0B7C"/>
    <w:rsid w:val="007F0F81"/>
    <w:rsid w:val="007F1214"/>
    <w:rsid w:val="007F12CA"/>
    <w:rsid w:val="007F150C"/>
    <w:rsid w:val="007F152E"/>
    <w:rsid w:val="007F1B4E"/>
    <w:rsid w:val="007F1CC4"/>
    <w:rsid w:val="007F1D01"/>
    <w:rsid w:val="007F1D13"/>
    <w:rsid w:val="007F1F94"/>
    <w:rsid w:val="007F227E"/>
    <w:rsid w:val="007F2473"/>
    <w:rsid w:val="007F2DE9"/>
    <w:rsid w:val="007F2E28"/>
    <w:rsid w:val="007F3030"/>
    <w:rsid w:val="007F31EB"/>
    <w:rsid w:val="007F3B2B"/>
    <w:rsid w:val="007F451B"/>
    <w:rsid w:val="007F4A37"/>
    <w:rsid w:val="007F4A72"/>
    <w:rsid w:val="007F4BE4"/>
    <w:rsid w:val="007F4F37"/>
    <w:rsid w:val="007F50EF"/>
    <w:rsid w:val="007F55B4"/>
    <w:rsid w:val="007F5A28"/>
    <w:rsid w:val="007F5B71"/>
    <w:rsid w:val="007F5DC8"/>
    <w:rsid w:val="007F62B7"/>
    <w:rsid w:val="007F6B7F"/>
    <w:rsid w:val="007F7220"/>
    <w:rsid w:val="007F7310"/>
    <w:rsid w:val="007F78A0"/>
    <w:rsid w:val="0080001A"/>
    <w:rsid w:val="00800315"/>
    <w:rsid w:val="0080038A"/>
    <w:rsid w:val="008005D2"/>
    <w:rsid w:val="0080123E"/>
    <w:rsid w:val="0080132E"/>
    <w:rsid w:val="008016E8"/>
    <w:rsid w:val="00802142"/>
    <w:rsid w:val="0080258C"/>
    <w:rsid w:val="008027AA"/>
    <w:rsid w:val="00802A80"/>
    <w:rsid w:val="008030B6"/>
    <w:rsid w:val="008031CC"/>
    <w:rsid w:val="00803858"/>
    <w:rsid w:val="00803BA2"/>
    <w:rsid w:val="008041FF"/>
    <w:rsid w:val="00804543"/>
    <w:rsid w:val="00804648"/>
    <w:rsid w:val="008049A8"/>
    <w:rsid w:val="00804E88"/>
    <w:rsid w:val="00804E99"/>
    <w:rsid w:val="00805A1A"/>
    <w:rsid w:val="00805D50"/>
    <w:rsid w:val="00805F02"/>
    <w:rsid w:val="008063C9"/>
    <w:rsid w:val="008064FD"/>
    <w:rsid w:val="0080698A"/>
    <w:rsid w:val="00806CFB"/>
    <w:rsid w:val="00807828"/>
    <w:rsid w:val="00807EBB"/>
    <w:rsid w:val="0081070F"/>
    <w:rsid w:val="008110D2"/>
    <w:rsid w:val="00811424"/>
    <w:rsid w:val="0081142C"/>
    <w:rsid w:val="00811515"/>
    <w:rsid w:val="008117CE"/>
    <w:rsid w:val="00811953"/>
    <w:rsid w:val="00811B2F"/>
    <w:rsid w:val="00811B9F"/>
    <w:rsid w:val="00811C8A"/>
    <w:rsid w:val="008123CE"/>
    <w:rsid w:val="00812D3B"/>
    <w:rsid w:val="0081309E"/>
    <w:rsid w:val="00813331"/>
    <w:rsid w:val="00813520"/>
    <w:rsid w:val="0081555A"/>
    <w:rsid w:val="008158A7"/>
    <w:rsid w:val="00815AD0"/>
    <w:rsid w:val="00815B35"/>
    <w:rsid w:val="00815C91"/>
    <w:rsid w:val="008164C8"/>
    <w:rsid w:val="008164DE"/>
    <w:rsid w:val="00816CA6"/>
    <w:rsid w:val="00816FD7"/>
    <w:rsid w:val="0082059D"/>
    <w:rsid w:val="00820A09"/>
    <w:rsid w:val="008210C6"/>
    <w:rsid w:val="00821121"/>
    <w:rsid w:val="00821445"/>
    <w:rsid w:val="00821729"/>
    <w:rsid w:val="008218DC"/>
    <w:rsid w:val="00821FC2"/>
    <w:rsid w:val="0082215A"/>
    <w:rsid w:val="008229D0"/>
    <w:rsid w:val="0082306D"/>
    <w:rsid w:val="00823467"/>
    <w:rsid w:val="00824286"/>
    <w:rsid w:val="0082485E"/>
    <w:rsid w:val="00824C88"/>
    <w:rsid w:val="00824F80"/>
    <w:rsid w:val="008264AB"/>
    <w:rsid w:val="008264BF"/>
    <w:rsid w:val="00826B3B"/>
    <w:rsid w:val="00826F21"/>
    <w:rsid w:val="00827589"/>
    <w:rsid w:val="00827C03"/>
    <w:rsid w:val="00830375"/>
    <w:rsid w:val="00830646"/>
    <w:rsid w:val="00830A94"/>
    <w:rsid w:val="008314E9"/>
    <w:rsid w:val="0083161B"/>
    <w:rsid w:val="008319FF"/>
    <w:rsid w:val="00831B2E"/>
    <w:rsid w:val="00831C26"/>
    <w:rsid w:val="00831C68"/>
    <w:rsid w:val="0083201A"/>
    <w:rsid w:val="0083211E"/>
    <w:rsid w:val="0083277B"/>
    <w:rsid w:val="00832923"/>
    <w:rsid w:val="00832D71"/>
    <w:rsid w:val="00832DE6"/>
    <w:rsid w:val="00832DFC"/>
    <w:rsid w:val="0083340E"/>
    <w:rsid w:val="0083342C"/>
    <w:rsid w:val="008336DA"/>
    <w:rsid w:val="00833AD0"/>
    <w:rsid w:val="00833E8D"/>
    <w:rsid w:val="00834335"/>
    <w:rsid w:val="008345FD"/>
    <w:rsid w:val="00834873"/>
    <w:rsid w:val="008348C1"/>
    <w:rsid w:val="008348F3"/>
    <w:rsid w:val="008349BA"/>
    <w:rsid w:val="00834CC0"/>
    <w:rsid w:val="00834F16"/>
    <w:rsid w:val="00834F95"/>
    <w:rsid w:val="00834FEF"/>
    <w:rsid w:val="00835328"/>
    <w:rsid w:val="00835592"/>
    <w:rsid w:val="00835A34"/>
    <w:rsid w:val="00836168"/>
    <w:rsid w:val="008361E2"/>
    <w:rsid w:val="008364E1"/>
    <w:rsid w:val="008375CC"/>
    <w:rsid w:val="0083766E"/>
    <w:rsid w:val="00837858"/>
    <w:rsid w:val="0083785E"/>
    <w:rsid w:val="00837946"/>
    <w:rsid w:val="00837BAD"/>
    <w:rsid w:val="00837E25"/>
    <w:rsid w:val="008400F3"/>
    <w:rsid w:val="008404E2"/>
    <w:rsid w:val="00840777"/>
    <w:rsid w:val="0084081B"/>
    <w:rsid w:val="00840A8A"/>
    <w:rsid w:val="00840DD5"/>
    <w:rsid w:val="00840F36"/>
    <w:rsid w:val="008417F9"/>
    <w:rsid w:val="008418C9"/>
    <w:rsid w:val="008419D6"/>
    <w:rsid w:val="0084232A"/>
    <w:rsid w:val="0084258D"/>
    <w:rsid w:val="00842AC5"/>
    <w:rsid w:val="00842F93"/>
    <w:rsid w:val="0084320C"/>
    <w:rsid w:val="008432B3"/>
    <w:rsid w:val="008436F7"/>
    <w:rsid w:val="0084427A"/>
    <w:rsid w:val="00844F7E"/>
    <w:rsid w:val="008450AC"/>
    <w:rsid w:val="0084554E"/>
    <w:rsid w:val="008456F3"/>
    <w:rsid w:val="008458EA"/>
    <w:rsid w:val="00845A05"/>
    <w:rsid w:val="00845B3B"/>
    <w:rsid w:val="00845C30"/>
    <w:rsid w:val="00845EEB"/>
    <w:rsid w:val="0084673A"/>
    <w:rsid w:val="008467FD"/>
    <w:rsid w:val="00846845"/>
    <w:rsid w:val="00846D84"/>
    <w:rsid w:val="00846DC7"/>
    <w:rsid w:val="0084721F"/>
    <w:rsid w:val="00847553"/>
    <w:rsid w:val="00847A15"/>
    <w:rsid w:val="008501BB"/>
    <w:rsid w:val="008504F3"/>
    <w:rsid w:val="0085076C"/>
    <w:rsid w:val="00850AD5"/>
    <w:rsid w:val="00850F1F"/>
    <w:rsid w:val="0085117C"/>
    <w:rsid w:val="00851305"/>
    <w:rsid w:val="008519ED"/>
    <w:rsid w:val="00851D60"/>
    <w:rsid w:val="0085251F"/>
    <w:rsid w:val="0085266E"/>
    <w:rsid w:val="00852761"/>
    <w:rsid w:val="00852C55"/>
    <w:rsid w:val="00852ECD"/>
    <w:rsid w:val="0085320F"/>
    <w:rsid w:val="00853225"/>
    <w:rsid w:val="00853394"/>
    <w:rsid w:val="0085357C"/>
    <w:rsid w:val="008535C7"/>
    <w:rsid w:val="008539A5"/>
    <w:rsid w:val="00853A94"/>
    <w:rsid w:val="00853F63"/>
    <w:rsid w:val="00854019"/>
    <w:rsid w:val="008542DA"/>
    <w:rsid w:val="008554AE"/>
    <w:rsid w:val="00855720"/>
    <w:rsid w:val="0085580E"/>
    <w:rsid w:val="00855888"/>
    <w:rsid w:val="00855AF4"/>
    <w:rsid w:val="00855D8C"/>
    <w:rsid w:val="00856560"/>
    <w:rsid w:val="00856DFC"/>
    <w:rsid w:val="00856ED3"/>
    <w:rsid w:val="0085700C"/>
    <w:rsid w:val="008571D2"/>
    <w:rsid w:val="00857DE0"/>
    <w:rsid w:val="0086083B"/>
    <w:rsid w:val="00860EF9"/>
    <w:rsid w:val="00860F69"/>
    <w:rsid w:val="00861700"/>
    <w:rsid w:val="00861AF3"/>
    <w:rsid w:val="00861CB3"/>
    <w:rsid w:val="00861D0E"/>
    <w:rsid w:val="00861DA0"/>
    <w:rsid w:val="008622AC"/>
    <w:rsid w:val="00862581"/>
    <w:rsid w:val="00862600"/>
    <w:rsid w:val="00862FB9"/>
    <w:rsid w:val="008631CC"/>
    <w:rsid w:val="0086330D"/>
    <w:rsid w:val="008633C7"/>
    <w:rsid w:val="00863544"/>
    <w:rsid w:val="00863DD9"/>
    <w:rsid w:val="00864057"/>
    <w:rsid w:val="0086410D"/>
    <w:rsid w:val="008643FA"/>
    <w:rsid w:val="00864F47"/>
    <w:rsid w:val="008652BE"/>
    <w:rsid w:val="0086535D"/>
    <w:rsid w:val="0086538B"/>
    <w:rsid w:val="00865879"/>
    <w:rsid w:val="008660B1"/>
    <w:rsid w:val="008667E7"/>
    <w:rsid w:val="008669A4"/>
    <w:rsid w:val="00866A13"/>
    <w:rsid w:val="00866E9E"/>
    <w:rsid w:val="0086700C"/>
    <w:rsid w:val="00867361"/>
    <w:rsid w:val="008674F5"/>
    <w:rsid w:val="008676C3"/>
    <w:rsid w:val="00867770"/>
    <w:rsid w:val="00867966"/>
    <w:rsid w:val="00867B0A"/>
    <w:rsid w:val="00870222"/>
    <w:rsid w:val="008709D4"/>
    <w:rsid w:val="00871037"/>
    <w:rsid w:val="008710AE"/>
    <w:rsid w:val="00871635"/>
    <w:rsid w:val="008716E8"/>
    <w:rsid w:val="00872AB2"/>
    <w:rsid w:val="00872C79"/>
    <w:rsid w:val="00872E7C"/>
    <w:rsid w:val="00872F7C"/>
    <w:rsid w:val="00873455"/>
    <w:rsid w:val="00873815"/>
    <w:rsid w:val="00873924"/>
    <w:rsid w:val="008739C4"/>
    <w:rsid w:val="00873A15"/>
    <w:rsid w:val="00873AF7"/>
    <w:rsid w:val="00873ED2"/>
    <w:rsid w:val="008740BD"/>
    <w:rsid w:val="00874768"/>
    <w:rsid w:val="00875196"/>
    <w:rsid w:val="00875562"/>
    <w:rsid w:val="008756FE"/>
    <w:rsid w:val="00875BC5"/>
    <w:rsid w:val="00875ECB"/>
    <w:rsid w:val="0087621A"/>
    <w:rsid w:val="00876330"/>
    <w:rsid w:val="008768DF"/>
    <w:rsid w:val="00876962"/>
    <w:rsid w:val="00876D23"/>
    <w:rsid w:val="00876E47"/>
    <w:rsid w:val="00876EBF"/>
    <w:rsid w:val="00876F2F"/>
    <w:rsid w:val="008774BA"/>
    <w:rsid w:val="00877D11"/>
    <w:rsid w:val="008805BA"/>
    <w:rsid w:val="0088065B"/>
    <w:rsid w:val="008806FB"/>
    <w:rsid w:val="00880A01"/>
    <w:rsid w:val="00880D74"/>
    <w:rsid w:val="00880E45"/>
    <w:rsid w:val="0088100D"/>
    <w:rsid w:val="008815FE"/>
    <w:rsid w:val="008816A1"/>
    <w:rsid w:val="00881E16"/>
    <w:rsid w:val="00881F11"/>
    <w:rsid w:val="00881F20"/>
    <w:rsid w:val="00882543"/>
    <w:rsid w:val="00882987"/>
    <w:rsid w:val="00882B91"/>
    <w:rsid w:val="00883598"/>
    <w:rsid w:val="00883A72"/>
    <w:rsid w:val="00883FD0"/>
    <w:rsid w:val="008841F5"/>
    <w:rsid w:val="00884547"/>
    <w:rsid w:val="00884575"/>
    <w:rsid w:val="008846B4"/>
    <w:rsid w:val="00884775"/>
    <w:rsid w:val="00884E0F"/>
    <w:rsid w:val="00884EBB"/>
    <w:rsid w:val="00885626"/>
    <w:rsid w:val="00885648"/>
    <w:rsid w:val="00885665"/>
    <w:rsid w:val="00885688"/>
    <w:rsid w:val="008856C1"/>
    <w:rsid w:val="00885A24"/>
    <w:rsid w:val="00885C4B"/>
    <w:rsid w:val="00885F26"/>
    <w:rsid w:val="00886029"/>
    <w:rsid w:val="0088667C"/>
    <w:rsid w:val="00886D0E"/>
    <w:rsid w:val="008871CB"/>
    <w:rsid w:val="00887CEF"/>
    <w:rsid w:val="00890043"/>
    <w:rsid w:val="00890292"/>
    <w:rsid w:val="00890852"/>
    <w:rsid w:val="0089087E"/>
    <w:rsid w:val="00890BC0"/>
    <w:rsid w:val="00890E09"/>
    <w:rsid w:val="00890E7D"/>
    <w:rsid w:val="00890E8F"/>
    <w:rsid w:val="0089106B"/>
    <w:rsid w:val="008910E5"/>
    <w:rsid w:val="008914CE"/>
    <w:rsid w:val="008915D2"/>
    <w:rsid w:val="00891B41"/>
    <w:rsid w:val="00893514"/>
    <w:rsid w:val="00893805"/>
    <w:rsid w:val="008938BB"/>
    <w:rsid w:val="00893C7B"/>
    <w:rsid w:val="00893E72"/>
    <w:rsid w:val="00894659"/>
    <w:rsid w:val="00894683"/>
    <w:rsid w:val="008946FE"/>
    <w:rsid w:val="00894816"/>
    <w:rsid w:val="00894CE8"/>
    <w:rsid w:val="00895309"/>
    <w:rsid w:val="00896457"/>
    <w:rsid w:val="00896723"/>
    <w:rsid w:val="00896B13"/>
    <w:rsid w:val="00896D9E"/>
    <w:rsid w:val="008972FF"/>
    <w:rsid w:val="00897449"/>
    <w:rsid w:val="0089749F"/>
    <w:rsid w:val="00897536"/>
    <w:rsid w:val="0089775E"/>
    <w:rsid w:val="00897D53"/>
    <w:rsid w:val="00897F27"/>
    <w:rsid w:val="00897F7B"/>
    <w:rsid w:val="00897FD0"/>
    <w:rsid w:val="008A00C6"/>
    <w:rsid w:val="008A0911"/>
    <w:rsid w:val="008A0CDB"/>
    <w:rsid w:val="008A0F64"/>
    <w:rsid w:val="008A118A"/>
    <w:rsid w:val="008A1B3E"/>
    <w:rsid w:val="008A1F5B"/>
    <w:rsid w:val="008A2242"/>
    <w:rsid w:val="008A2382"/>
    <w:rsid w:val="008A29AB"/>
    <w:rsid w:val="008A2D3B"/>
    <w:rsid w:val="008A2F8B"/>
    <w:rsid w:val="008A2FE5"/>
    <w:rsid w:val="008A3195"/>
    <w:rsid w:val="008A3321"/>
    <w:rsid w:val="008A3F07"/>
    <w:rsid w:val="008A47B0"/>
    <w:rsid w:val="008A48FA"/>
    <w:rsid w:val="008A4ACA"/>
    <w:rsid w:val="008A4CDD"/>
    <w:rsid w:val="008A4EB8"/>
    <w:rsid w:val="008A4EF4"/>
    <w:rsid w:val="008A50FC"/>
    <w:rsid w:val="008A544D"/>
    <w:rsid w:val="008A551A"/>
    <w:rsid w:val="008A5BFD"/>
    <w:rsid w:val="008A5D62"/>
    <w:rsid w:val="008A6019"/>
    <w:rsid w:val="008A61F6"/>
    <w:rsid w:val="008A6252"/>
    <w:rsid w:val="008A64B5"/>
    <w:rsid w:val="008A6AA9"/>
    <w:rsid w:val="008A6AF2"/>
    <w:rsid w:val="008A6D7A"/>
    <w:rsid w:val="008A70B0"/>
    <w:rsid w:val="008A7354"/>
    <w:rsid w:val="008A790E"/>
    <w:rsid w:val="008B040D"/>
    <w:rsid w:val="008B046B"/>
    <w:rsid w:val="008B0BF9"/>
    <w:rsid w:val="008B0DDD"/>
    <w:rsid w:val="008B1CB2"/>
    <w:rsid w:val="008B2781"/>
    <w:rsid w:val="008B3764"/>
    <w:rsid w:val="008B3865"/>
    <w:rsid w:val="008B3AAC"/>
    <w:rsid w:val="008B3D8A"/>
    <w:rsid w:val="008B4596"/>
    <w:rsid w:val="008B4638"/>
    <w:rsid w:val="008B4775"/>
    <w:rsid w:val="008B4B27"/>
    <w:rsid w:val="008B597D"/>
    <w:rsid w:val="008B5A14"/>
    <w:rsid w:val="008B5EAD"/>
    <w:rsid w:val="008B6540"/>
    <w:rsid w:val="008B6698"/>
    <w:rsid w:val="008B66F4"/>
    <w:rsid w:val="008B6830"/>
    <w:rsid w:val="008B6D6A"/>
    <w:rsid w:val="008B6E35"/>
    <w:rsid w:val="008B6F0C"/>
    <w:rsid w:val="008B7866"/>
    <w:rsid w:val="008C0431"/>
    <w:rsid w:val="008C082B"/>
    <w:rsid w:val="008C0CD2"/>
    <w:rsid w:val="008C0D77"/>
    <w:rsid w:val="008C120D"/>
    <w:rsid w:val="008C1621"/>
    <w:rsid w:val="008C1636"/>
    <w:rsid w:val="008C17EC"/>
    <w:rsid w:val="008C1883"/>
    <w:rsid w:val="008C1996"/>
    <w:rsid w:val="008C1C23"/>
    <w:rsid w:val="008C2062"/>
    <w:rsid w:val="008C2519"/>
    <w:rsid w:val="008C28DF"/>
    <w:rsid w:val="008C29D1"/>
    <w:rsid w:val="008C2A6A"/>
    <w:rsid w:val="008C2DE9"/>
    <w:rsid w:val="008C3431"/>
    <w:rsid w:val="008C3A4B"/>
    <w:rsid w:val="008C3A51"/>
    <w:rsid w:val="008C4162"/>
    <w:rsid w:val="008C41A9"/>
    <w:rsid w:val="008C479B"/>
    <w:rsid w:val="008C48DD"/>
    <w:rsid w:val="008C4A9D"/>
    <w:rsid w:val="008C4C95"/>
    <w:rsid w:val="008C4D2E"/>
    <w:rsid w:val="008C529C"/>
    <w:rsid w:val="008C53F9"/>
    <w:rsid w:val="008C593A"/>
    <w:rsid w:val="008C646B"/>
    <w:rsid w:val="008C69F5"/>
    <w:rsid w:val="008C6A31"/>
    <w:rsid w:val="008C6BD0"/>
    <w:rsid w:val="008C6CA9"/>
    <w:rsid w:val="008C7762"/>
    <w:rsid w:val="008C7F44"/>
    <w:rsid w:val="008D0FB6"/>
    <w:rsid w:val="008D147A"/>
    <w:rsid w:val="008D1729"/>
    <w:rsid w:val="008D177E"/>
    <w:rsid w:val="008D17EC"/>
    <w:rsid w:val="008D1ADA"/>
    <w:rsid w:val="008D1E1E"/>
    <w:rsid w:val="008D2205"/>
    <w:rsid w:val="008D234D"/>
    <w:rsid w:val="008D29B7"/>
    <w:rsid w:val="008D36AC"/>
    <w:rsid w:val="008D44B2"/>
    <w:rsid w:val="008D4F43"/>
    <w:rsid w:val="008D4FDC"/>
    <w:rsid w:val="008D5721"/>
    <w:rsid w:val="008D58BD"/>
    <w:rsid w:val="008D5B5D"/>
    <w:rsid w:val="008D5D7C"/>
    <w:rsid w:val="008D602A"/>
    <w:rsid w:val="008D61F9"/>
    <w:rsid w:val="008D6DE8"/>
    <w:rsid w:val="008D6E76"/>
    <w:rsid w:val="008D78CF"/>
    <w:rsid w:val="008E063C"/>
    <w:rsid w:val="008E0800"/>
    <w:rsid w:val="008E08D7"/>
    <w:rsid w:val="008E08F2"/>
    <w:rsid w:val="008E0A27"/>
    <w:rsid w:val="008E0A2A"/>
    <w:rsid w:val="008E0EB9"/>
    <w:rsid w:val="008E10AA"/>
    <w:rsid w:val="008E11F3"/>
    <w:rsid w:val="008E1375"/>
    <w:rsid w:val="008E1BDC"/>
    <w:rsid w:val="008E1BFF"/>
    <w:rsid w:val="008E239F"/>
    <w:rsid w:val="008E2A62"/>
    <w:rsid w:val="008E3319"/>
    <w:rsid w:val="008E345D"/>
    <w:rsid w:val="008E3AFA"/>
    <w:rsid w:val="008E40D4"/>
    <w:rsid w:val="008E4421"/>
    <w:rsid w:val="008E4626"/>
    <w:rsid w:val="008E4AB1"/>
    <w:rsid w:val="008E4B98"/>
    <w:rsid w:val="008E4BA5"/>
    <w:rsid w:val="008E4C51"/>
    <w:rsid w:val="008E4DCA"/>
    <w:rsid w:val="008E588A"/>
    <w:rsid w:val="008E5A97"/>
    <w:rsid w:val="008E5F3F"/>
    <w:rsid w:val="008E63D0"/>
    <w:rsid w:val="008E679B"/>
    <w:rsid w:val="008E716D"/>
    <w:rsid w:val="008E72C3"/>
    <w:rsid w:val="008E78F2"/>
    <w:rsid w:val="008E7B19"/>
    <w:rsid w:val="008E7E49"/>
    <w:rsid w:val="008F0C0E"/>
    <w:rsid w:val="008F1A7E"/>
    <w:rsid w:val="008F1AAC"/>
    <w:rsid w:val="008F1B1D"/>
    <w:rsid w:val="008F284B"/>
    <w:rsid w:val="008F2A6D"/>
    <w:rsid w:val="008F30FA"/>
    <w:rsid w:val="008F32A6"/>
    <w:rsid w:val="008F3A2E"/>
    <w:rsid w:val="008F3DE4"/>
    <w:rsid w:val="008F4A5C"/>
    <w:rsid w:val="008F4A98"/>
    <w:rsid w:val="008F4FB2"/>
    <w:rsid w:val="008F50BC"/>
    <w:rsid w:val="008F5261"/>
    <w:rsid w:val="008F5488"/>
    <w:rsid w:val="008F6194"/>
    <w:rsid w:val="0090000A"/>
    <w:rsid w:val="009000C3"/>
    <w:rsid w:val="0090014E"/>
    <w:rsid w:val="009001ED"/>
    <w:rsid w:val="00900332"/>
    <w:rsid w:val="0090043A"/>
    <w:rsid w:val="009005C1"/>
    <w:rsid w:val="0090060B"/>
    <w:rsid w:val="009007E2"/>
    <w:rsid w:val="00900D44"/>
    <w:rsid w:val="00900F81"/>
    <w:rsid w:val="00901291"/>
    <w:rsid w:val="00901428"/>
    <w:rsid w:val="0090144B"/>
    <w:rsid w:val="00901565"/>
    <w:rsid w:val="009015CA"/>
    <w:rsid w:val="009019E7"/>
    <w:rsid w:val="00901A99"/>
    <w:rsid w:val="009026F9"/>
    <w:rsid w:val="0090285C"/>
    <w:rsid w:val="00902941"/>
    <w:rsid w:val="00902C56"/>
    <w:rsid w:val="00903713"/>
    <w:rsid w:val="00903AD0"/>
    <w:rsid w:val="00903B51"/>
    <w:rsid w:val="00904049"/>
    <w:rsid w:val="009042AD"/>
    <w:rsid w:val="0090461B"/>
    <w:rsid w:val="00904652"/>
    <w:rsid w:val="009049D0"/>
    <w:rsid w:val="00905588"/>
    <w:rsid w:val="00905794"/>
    <w:rsid w:val="00905EE9"/>
    <w:rsid w:val="00906579"/>
    <w:rsid w:val="009069D1"/>
    <w:rsid w:val="0090773C"/>
    <w:rsid w:val="009077C5"/>
    <w:rsid w:val="00907DD6"/>
    <w:rsid w:val="00907F63"/>
    <w:rsid w:val="009104EB"/>
    <w:rsid w:val="00910578"/>
    <w:rsid w:val="00910BCE"/>
    <w:rsid w:val="00911CF9"/>
    <w:rsid w:val="0091202A"/>
    <w:rsid w:val="00912189"/>
    <w:rsid w:val="009122FC"/>
    <w:rsid w:val="009126FA"/>
    <w:rsid w:val="0091298B"/>
    <w:rsid w:val="009136E4"/>
    <w:rsid w:val="00913D8F"/>
    <w:rsid w:val="00913E85"/>
    <w:rsid w:val="009141B9"/>
    <w:rsid w:val="009145F7"/>
    <w:rsid w:val="0091487E"/>
    <w:rsid w:val="00915BA0"/>
    <w:rsid w:val="00915C2B"/>
    <w:rsid w:val="009160DF"/>
    <w:rsid w:val="0091629C"/>
    <w:rsid w:val="009166BE"/>
    <w:rsid w:val="00916D2B"/>
    <w:rsid w:val="00916DAD"/>
    <w:rsid w:val="009170C9"/>
    <w:rsid w:val="0091747D"/>
    <w:rsid w:val="009174ED"/>
    <w:rsid w:val="009176F6"/>
    <w:rsid w:val="009178C4"/>
    <w:rsid w:val="00917999"/>
    <w:rsid w:val="00920EAA"/>
    <w:rsid w:val="00921042"/>
    <w:rsid w:val="00921359"/>
    <w:rsid w:val="009216BC"/>
    <w:rsid w:val="0092182F"/>
    <w:rsid w:val="00921E94"/>
    <w:rsid w:val="00921F42"/>
    <w:rsid w:val="0092227F"/>
    <w:rsid w:val="00923314"/>
    <w:rsid w:val="00923611"/>
    <w:rsid w:val="00923877"/>
    <w:rsid w:val="009239D7"/>
    <w:rsid w:val="009244EE"/>
    <w:rsid w:val="009245E5"/>
    <w:rsid w:val="00924725"/>
    <w:rsid w:val="00924B53"/>
    <w:rsid w:val="00924E32"/>
    <w:rsid w:val="00925380"/>
    <w:rsid w:val="0092570A"/>
    <w:rsid w:val="0092605E"/>
    <w:rsid w:val="009262F1"/>
    <w:rsid w:val="0092630E"/>
    <w:rsid w:val="00926B55"/>
    <w:rsid w:val="00926C1E"/>
    <w:rsid w:val="00926ED9"/>
    <w:rsid w:val="00926F8B"/>
    <w:rsid w:val="009276F2"/>
    <w:rsid w:val="009278B7"/>
    <w:rsid w:val="0092794E"/>
    <w:rsid w:val="00927C42"/>
    <w:rsid w:val="00927F10"/>
    <w:rsid w:val="00930780"/>
    <w:rsid w:val="00931256"/>
    <w:rsid w:val="00931582"/>
    <w:rsid w:val="00931726"/>
    <w:rsid w:val="0093172A"/>
    <w:rsid w:val="009317D1"/>
    <w:rsid w:val="00931BEF"/>
    <w:rsid w:val="00931FE1"/>
    <w:rsid w:val="00931FE2"/>
    <w:rsid w:val="009324A2"/>
    <w:rsid w:val="00932609"/>
    <w:rsid w:val="00933085"/>
    <w:rsid w:val="009334A3"/>
    <w:rsid w:val="0093362B"/>
    <w:rsid w:val="00933684"/>
    <w:rsid w:val="00933A3B"/>
    <w:rsid w:val="00934118"/>
    <w:rsid w:val="0093443D"/>
    <w:rsid w:val="00934802"/>
    <w:rsid w:val="00934B8F"/>
    <w:rsid w:val="0093547D"/>
    <w:rsid w:val="00935DF1"/>
    <w:rsid w:val="00936287"/>
    <w:rsid w:val="009365B4"/>
    <w:rsid w:val="00936995"/>
    <w:rsid w:val="00936BE2"/>
    <w:rsid w:val="00936CCB"/>
    <w:rsid w:val="00937581"/>
    <w:rsid w:val="009375FD"/>
    <w:rsid w:val="009377A9"/>
    <w:rsid w:val="00937B4C"/>
    <w:rsid w:val="00937D3B"/>
    <w:rsid w:val="0094051B"/>
    <w:rsid w:val="00941808"/>
    <w:rsid w:val="00941C5F"/>
    <w:rsid w:val="00941FBC"/>
    <w:rsid w:val="009423EF"/>
    <w:rsid w:val="0094257E"/>
    <w:rsid w:val="00942931"/>
    <w:rsid w:val="00942C51"/>
    <w:rsid w:val="009431FB"/>
    <w:rsid w:val="009432AB"/>
    <w:rsid w:val="009436BE"/>
    <w:rsid w:val="00943FC9"/>
    <w:rsid w:val="00944982"/>
    <w:rsid w:val="00944BEA"/>
    <w:rsid w:val="00945641"/>
    <w:rsid w:val="009456AB"/>
    <w:rsid w:val="00945C30"/>
    <w:rsid w:val="00946048"/>
    <w:rsid w:val="00946677"/>
    <w:rsid w:val="0094674E"/>
    <w:rsid w:val="00946A97"/>
    <w:rsid w:val="00946E19"/>
    <w:rsid w:val="00947033"/>
    <w:rsid w:val="00947205"/>
    <w:rsid w:val="009476F1"/>
    <w:rsid w:val="009477E6"/>
    <w:rsid w:val="00947C7F"/>
    <w:rsid w:val="00947F42"/>
    <w:rsid w:val="009501B8"/>
    <w:rsid w:val="00950502"/>
    <w:rsid w:val="0095050D"/>
    <w:rsid w:val="00950701"/>
    <w:rsid w:val="009507A2"/>
    <w:rsid w:val="00950B73"/>
    <w:rsid w:val="00950D15"/>
    <w:rsid w:val="00951B49"/>
    <w:rsid w:val="00951D72"/>
    <w:rsid w:val="00952DDA"/>
    <w:rsid w:val="00953120"/>
    <w:rsid w:val="009531A8"/>
    <w:rsid w:val="009532D6"/>
    <w:rsid w:val="009536DB"/>
    <w:rsid w:val="00953F12"/>
    <w:rsid w:val="0095430D"/>
    <w:rsid w:val="00954684"/>
    <w:rsid w:val="00954697"/>
    <w:rsid w:val="00954726"/>
    <w:rsid w:val="00954E76"/>
    <w:rsid w:val="00955008"/>
    <w:rsid w:val="0095591B"/>
    <w:rsid w:val="00955A28"/>
    <w:rsid w:val="00955AAE"/>
    <w:rsid w:val="00956306"/>
    <w:rsid w:val="0095649C"/>
    <w:rsid w:val="00956903"/>
    <w:rsid w:val="00956A65"/>
    <w:rsid w:val="00956D70"/>
    <w:rsid w:val="00956F7F"/>
    <w:rsid w:val="009571AE"/>
    <w:rsid w:val="009574F8"/>
    <w:rsid w:val="00957C54"/>
    <w:rsid w:val="00960024"/>
    <w:rsid w:val="00960122"/>
    <w:rsid w:val="009602CC"/>
    <w:rsid w:val="0096056B"/>
    <w:rsid w:val="00960833"/>
    <w:rsid w:val="00961120"/>
    <w:rsid w:val="00961260"/>
    <w:rsid w:val="00961360"/>
    <w:rsid w:val="0096143F"/>
    <w:rsid w:val="009615A9"/>
    <w:rsid w:val="00961BF4"/>
    <w:rsid w:val="00962072"/>
    <w:rsid w:val="00962699"/>
    <w:rsid w:val="0096274F"/>
    <w:rsid w:val="00962975"/>
    <w:rsid w:val="00962BE7"/>
    <w:rsid w:val="0096305E"/>
    <w:rsid w:val="009631B2"/>
    <w:rsid w:val="009632C3"/>
    <w:rsid w:val="0096332F"/>
    <w:rsid w:val="0096376B"/>
    <w:rsid w:val="009639A1"/>
    <w:rsid w:val="00963C4B"/>
    <w:rsid w:val="009640F1"/>
    <w:rsid w:val="00964479"/>
    <w:rsid w:val="0096497B"/>
    <w:rsid w:val="00964AD2"/>
    <w:rsid w:val="00964AD3"/>
    <w:rsid w:val="00964B72"/>
    <w:rsid w:val="00964C1D"/>
    <w:rsid w:val="00964C61"/>
    <w:rsid w:val="009651FA"/>
    <w:rsid w:val="0096539E"/>
    <w:rsid w:val="00965E60"/>
    <w:rsid w:val="0096610A"/>
    <w:rsid w:val="00966210"/>
    <w:rsid w:val="009662C3"/>
    <w:rsid w:val="0096679E"/>
    <w:rsid w:val="009668EB"/>
    <w:rsid w:val="009669B9"/>
    <w:rsid w:val="00966A11"/>
    <w:rsid w:val="00966C23"/>
    <w:rsid w:val="00966F73"/>
    <w:rsid w:val="00967CDC"/>
    <w:rsid w:val="00967CE3"/>
    <w:rsid w:val="00967FDD"/>
    <w:rsid w:val="0097044B"/>
    <w:rsid w:val="00971008"/>
    <w:rsid w:val="00971775"/>
    <w:rsid w:val="00971BED"/>
    <w:rsid w:val="00971CD7"/>
    <w:rsid w:val="00971DE9"/>
    <w:rsid w:val="00971EB8"/>
    <w:rsid w:val="00972233"/>
    <w:rsid w:val="00972B10"/>
    <w:rsid w:val="00972D87"/>
    <w:rsid w:val="009738B8"/>
    <w:rsid w:val="009740A5"/>
    <w:rsid w:val="009740E7"/>
    <w:rsid w:val="00974402"/>
    <w:rsid w:val="00974783"/>
    <w:rsid w:val="00974DE1"/>
    <w:rsid w:val="00974F3D"/>
    <w:rsid w:val="0097569C"/>
    <w:rsid w:val="0097600B"/>
    <w:rsid w:val="009761A2"/>
    <w:rsid w:val="0097688B"/>
    <w:rsid w:val="009768E3"/>
    <w:rsid w:val="00976B49"/>
    <w:rsid w:val="00976D06"/>
    <w:rsid w:val="00977D34"/>
    <w:rsid w:val="00980522"/>
    <w:rsid w:val="00980810"/>
    <w:rsid w:val="00980E9A"/>
    <w:rsid w:val="009817A0"/>
    <w:rsid w:val="00981C5B"/>
    <w:rsid w:val="009820A0"/>
    <w:rsid w:val="00982219"/>
    <w:rsid w:val="00982257"/>
    <w:rsid w:val="0098231B"/>
    <w:rsid w:val="00982505"/>
    <w:rsid w:val="00982BF7"/>
    <w:rsid w:val="00982E79"/>
    <w:rsid w:val="00983043"/>
    <w:rsid w:val="009834D2"/>
    <w:rsid w:val="00983775"/>
    <w:rsid w:val="00983954"/>
    <w:rsid w:val="009839A5"/>
    <w:rsid w:val="00983CFD"/>
    <w:rsid w:val="0098471D"/>
    <w:rsid w:val="0098487A"/>
    <w:rsid w:val="00984E91"/>
    <w:rsid w:val="00984FD3"/>
    <w:rsid w:val="0098501D"/>
    <w:rsid w:val="00985CC7"/>
    <w:rsid w:val="00985CF0"/>
    <w:rsid w:val="00985DDF"/>
    <w:rsid w:val="0098616B"/>
    <w:rsid w:val="009861C6"/>
    <w:rsid w:val="009871C5"/>
    <w:rsid w:val="0099019D"/>
    <w:rsid w:val="0099054D"/>
    <w:rsid w:val="00990A47"/>
    <w:rsid w:val="00990BC9"/>
    <w:rsid w:val="00990D20"/>
    <w:rsid w:val="009916B9"/>
    <w:rsid w:val="00991EA7"/>
    <w:rsid w:val="00992293"/>
    <w:rsid w:val="00992371"/>
    <w:rsid w:val="0099261E"/>
    <w:rsid w:val="009926A5"/>
    <w:rsid w:val="00992A4A"/>
    <w:rsid w:val="00992D2C"/>
    <w:rsid w:val="009932BE"/>
    <w:rsid w:val="00993501"/>
    <w:rsid w:val="0099350D"/>
    <w:rsid w:val="00994159"/>
    <w:rsid w:val="0099464B"/>
    <w:rsid w:val="0099488E"/>
    <w:rsid w:val="00994C68"/>
    <w:rsid w:val="009950E0"/>
    <w:rsid w:val="00995183"/>
    <w:rsid w:val="00995E79"/>
    <w:rsid w:val="009961D0"/>
    <w:rsid w:val="0099632D"/>
    <w:rsid w:val="00996406"/>
    <w:rsid w:val="009964EA"/>
    <w:rsid w:val="009965A1"/>
    <w:rsid w:val="009968B1"/>
    <w:rsid w:val="00997446"/>
    <w:rsid w:val="009975F1"/>
    <w:rsid w:val="00997A13"/>
    <w:rsid w:val="00997D66"/>
    <w:rsid w:val="009A00D1"/>
    <w:rsid w:val="009A02EE"/>
    <w:rsid w:val="009A09AF"/>
    <w:rsid w:val="009A0D34"/>
    <w:rsid w:val="009A160B"/>
    <w:rsid w:val="009A17C5"/>
    <w:rsid w:val="009A2572"/>
    <w:rsid w:val="009A2E4C"/>
    <w:rsid w:val="009A2F00"/>
    <w:rsid w:val="009A38B8"/>
    <w:rsid w:val="009A4714"/>
    <w:rsid w:val="009A4D6F"/>
    <w:rsid w:val="009A542F"/>
    <w:rsid w:val="009A550C"/>
    <w:rsid w:val="009A5957"/>
    <w:rsid w:val="009A5DF3"/>
    <w:rsid w:val="009A5FDB"/>
    <w:rsid w:val="009A61B1"/>
    <w:rsid w:val="009A652D"/>
    <w:rsid w:val="009A693F"/>
    <w:rsid w:val="009A6E23"/>
    <w:rsid w:val="009A7339"/>
    <w:rsid w:val="009A75CE"/>
    <w:rsid w:val="009A7DCE"/>
    <w:rsid w:val="009A7E74"/>
    <w:rsid w:val="009B0405"/>
    <w:rsid w:val="009B0E2A"/>
    <w:rsid w:val="009B28A0"/>
    <w:rsid w:val="009B2E9D"/>
    <w:rsid w:val="009B301A"/>
    <w:rsid w:val="009B328B"/>
    <w:rsid w:val="009B3434"/>
    <w:rsid w:val="009B3462"/>
    <w:rsid w:val="009B36FE"/>
    <w:rsid w:val="009B407B"/>
    <w:rsid w:val="009B43DC"/>
    <w:rsid w:val="009B47E2"/>
    <w:rsid w:val="009B48BF"/>
    <w:rsid w:val="009B4B07"/>
    <w:rsid w:val="009B4BD2"/>
    <w:rsid w:val="009B4C67"/>
    <w:rsid w:val="009B53D8"/>
    <w:rsid w:val="009B5928"/>
    <w:rsid w:val="009B5975"/>
    <w:rsid w:val="009B684C"/>
    <w:rsid w:val="009B6E9E"/>
    <w:rsid w:val="009B79BE"/>
    <w:rsid w:val="009B7C47"/>
    <w:rsid w:val="009C03A6"/>
    <w:rsid w:val="009C07D9"/>
    <w:rsid w:val="009C0CCE"/>
    <w:rsid w:val="009C1275"/>
    <w:rsid w:val="009C12B5"/>
    <w:rsid w:val="009C1F71"/>
    <w:rsid w:val="009C229D"/>
    <w:rsid w:val="009C270B"/>
    <w:rsid w:val="009C2776"/>
    <w:rsid w:val="009C2818"/>
    <w:rsid w:val="009C28A4"/>
    <w:rsid w:val="009C3103"/>
    <w:rsid w:val="009C3141"/>
    <w:rsid w:val="009C3643"/>
    <w:rsid w:val="009C39A1"/>
    <w:rsid w:val="009C3D35"/>
    <w:rsid w:val="009C40A6"/>
    <w:rsid w:val="009C44AB"/>
    <w:rsid w:val="009C4853"/>
    <w:rsid w:val="009C4913"/>
    <w:rsid w:val="009C4BDA"/>
    <w:rsid w:val="009C5078"/>
    <w:rsid w:val="009C58A4"/>
    <w:rsid w:val="009C6175"/>
    <w:rsid w:val="009C69C4"/>
    <w:rsid w:val="009C78E4"/>
    <w:rsid w:val="009C792B"/>
    <w:rsid w:val="009C7EE9"/>
    <w:rsid w:val="009D0072"/>
    <w:rsid w:val="009D04B9"/>
    <w:rsid w:val="009D0B16"/>
    <w:rsid w:val="009D1A21"/>
    <w:rsid w:val="009D1AE7"/>
    <w:rsid w:val="009D1C29"/>
    <w:rsid w:val="009D24C1"/>
    <w:rsid w:val="009D24EC"/>
    <w:rsid w:val="009D2926"/>
    <w:rsid w:val="009D29B1"/>
    <w:rsid w:val="009D433F"/>
    <w:rsid w:val="009D46C8"/>
    <w:rsid w:val="009D4A32"/>
    <w:rsid w:val="009D5103"/>
    <w:rsid w:val="009D57D6"/>
    <w:rsid w:val="009D60FA"/>
    <w:rsid w:val="009D6690"/>
    <w:rsid w:val="009D68C6"/>
    <w:rsid w:val="009D698B"/>
    <w:rsid w:val="009D6A1F"/>
    <w:rsid w:val="009D6C52"/>
    <w:rsid w:val="009D72DF"/>
    <w:rsid w:val="009D7422"/>
    <w:rsid w:val="009D75BC"/>
    <w:rsid w:val="009D76F6"/>
    <w:rsid w:val="009D7711"/>
    <w:rsid w:val="009D7F02"/>
    <w:rsid w:val="009E003D"/>
    <w:rsid w:val="009E02B2"/>
    <w:rsid w:val="009E03EC"/>
    <w:rsid w:val="009E08B2"/>
    <w:rsid w:val="009E093F"/>
    <w:rsid w:val="009E0A97"/>
    <w:rsid w:val="009E100D"/>
    <w:rsid w:val="009E11F1"/>
    <w:rsid w:val="009E121F"/>
    <w:rsid w:val="009E1281"/>
    <w:rsid w:val="009E142F"/>
    <w:rsid w:val="009E171E"/>
    <w:rsid w:val="009E1D96"/>
    <w:rsid w:val="009E1EDF"/>
    <w:rsid w:val="009E2162"/>
    <w:rsid w:val="009E271D"/>
    <w:rsid w:val="009E2AD8"/>
    <w:rsid w:val="009E301F"/>
    <w:rsid w:val="009E32F4"/>
    <w:rsid w:val="009E3F7E"/>
    <w:rsid w:val="009E40FE"/>
    <w:rsid w:val="009E439C"/>
    <w:rsid w:val="009E43F4"/>
    <w:rsid w:val="009E4DA7"/>
    <w:rsid w:val="009E4E59"/>
    <w:rsid w:val="009E50F1"/>
    <w:rsid w:val="009E5117"/>
    <w:rsid w:val="009E52A5"/>
    <w:rsid w:val="009E55D3"/>
    <w:rsid w:val="009E5D62"/>
    <w:rsid w:val="009E616B"/>
    <w:rsid w:val="009E63AD"/>
    <w:rsid w:val="009E6752"/>
    <w:rsid w:val="009E6CCC"/>
    <w:rsid w:val="009E709E"/>
    <w:rsid w:val="009E756B"/>
    <w:rsid w:val="009E7573"/>
    <w:rsid w:val="009E75D3"/>
    <w:rsid w:val="009E7A5E"/>
    <w:rsid w:val="009E7A7F"/>
    <w:rsid w:val="009E7AE7"/>
    <w:rsid w:val="009E7D31"/>
    <w:rsid w:val="009F02E8"/>
    <w:rsid w:val="009F0953"/>
    <w:rsid w:val="009F0B54"/>
    <w:rsid w:val="009F0E25"/>
    <w:rsid w:val="009F0E94"/>
    <w:rsid w:val="009F0F13"/>
    <w:rsid w:val="009F180C"/>
    <w:rsid w:val="009F1BB3"/>
    <w:rsid w:val="009F21C9"/>
    <w:rsid w:val="009F2730"/>
    <w:rsid w:val="009F3104"/>
    <w:rsid w:val="009F38E1"/>
    <w:rsid w:val="009F3B23"/>
    <w:rsid w:val="009F3C49"/>
    <w:rsid w:val="009F3E2B"/>
    <w:rsid w:val="009F40AE"/>
    <w:rsid w:val="009F44C5"/>
    <w:rsid w:val="009F4748"/>
    <w:rsid w:val="009F4846"/>
    <w:rsid w:val="009F490F"/>
    <w:rsid w:val="009F4E94"/>
    <w:rsid w:val="009F5031"/>
    <w:rsid w:val="009F505F"/>
    <w:rsid w:val="009F52D8"/>
    <w:rsid w:val="009F5450"/>
    <w:rsid w:val="009F5614"/>
    <w:rsid w:val="009F66F6"/>
    <w:rsid w:val="009F6897"/>
    <w:rsid w:val="009F6D22"/>
    <w:rsid w:val="009F6DBD"/>
    <w:rsid w:val="009F6DC8"/>
    <w:rsid w:val="009F74A4"/>
    <w:rsid w:val="009F7C4B"/>
    <w:rsid w:val="009F7DA3"/>
    <w:rsid w:val="009F7EC1"/>
    <w:rsid w:val="00A00121"/>
    <w:rsid w:val="00A0068F"/>
    <w:rsid w:val="00A00A1F"/>
    <w:rsid w:val="00A00AAC"/>
    <w:rsid w:val="00A00B4D"/>
    <w:rsid w:val="00A00C50"/>
    <w:rsid w:val="00A01047"/>
    <w:rsid w:val="00A0105D"/>
    <w:rsid w:val="00A01243"/>
    <w:rsid w:val="00A01762"/>
    <w:rsid w:val="00A019CD"/>
    <w:rsid w:val="00A01E75"/>
    <w:rsid w:val="00A01FA7"/>
    <w:rsid w:val="00A027DF"/>
    <w:rsid w:val="00A02D47"/>
    <w:rsid w:val="00A02F93"/>
    <w:rsid w:val="00A036EC"/>
    <w:rsid w:val="00A037A9"/>
    <w:rsid w:val="00A03C35"/>
    <w:rsid w:val="00A03DDA"/>
    <w:rsid w:val="00A0433E"/>
    <w:rsid w:val="00A059A1"/>
    <w:rsid w:val="00A0628A"/>
    <w:rsid w:val="00A06CEE"/>
    <w:rsid w:val="00A07AB3"/>
    <w:rsid w:val="00A07EF9"/>
    <w:rsid w:val="00A1039F"/>
    <w:rsid w:val="00A10744"/>
    <w:rsid w:val="00A10CFD"/>
    <w:rsid w:val="00A1168F"/>
    <w:rsid w:val="00A11933"/>
    <w:rsid w:val="00A119B3"/>
    <w:rsid w:val="00A11D62"/>
    <w:rsid w:val="00A120EE"/>
    <w:rsid w:val="00A1227D"/>
    <w:rsid w:val="00A12365"/>
    <w:rsid w:val="00A1284C"/>
    <w:rsid w:val="00A129A6"/>
    <w:rsid w:val="00A12AC6"/>
    <w:rsid w:val="00A130D6"/>
    <w:rsid w:val="00A13615"/>
    <w:rsid w:val="00A1364F"/>
    <w:rsid w:val="00A13658"/>
    <w:rsid w:val="00A136D1"/>
    <w:rsid w:val="00A13A50"/>
    <w:rsid w:val="00A144BD"/>
    <w:rsid w:val="00A14FC9"/>
    <w:rsid w:val="00A152D7"/>
    <w:rsid w:val="00A1580D"/>
    <w:rsid w:val="00A15A12"/>
    <w:rsid w:val="00A15B6C"/>
    <w:rsid w:val="00A16D55"/>
    <w:rsid w:val="00A170C2"/>
    <w:rsid w:val="00A17530"/>
    <w:rsid w:val="00A17670"/>
    <w:rsid w:val="00A17794"/>
    <w:rsid w:val="00A17B8B"/>
    <w:rsid w:val="00A2002D"/>
    <w:rsid w:val="00A20268"/>
    <w:rsid w:val="00A204B0"/>
    <w:rsid w:val="00A20546"/>
    <w:rsid w:val="00A207C5"/>
    <w:rsid w:val="00A20858"/>
    <w:rsid w:val="00A20A83"/>
    <w:rsid w:val="00A20FF8"/>
    <w:rsid w:val="00A210D9"/>
    <w:rsid w:val="00A217FB"/>
    <w:rsid w:val="00A21BE5"/>
    <w:rsid w:val="00A21FBF"/>
    <w:rsid w:val="00A221FD"/>
    <w:rsid w:val="00A2230A"/>
    <w:rsid w:val="00A228EC"/>
    <w:rsid w:val="00A22E6C"/>
    <w:rsid w:val="00A23230"/>
    <w:rsid w:val="00A245B7"/>
    <w:rsid w:val="00A24771"/>
    <w:rsid w:val="00A24CF6"/>
    <w:rsid w:val="00A2526A"/>
    <w:rsid w:val="00A25BCD"/>
    <w:rsid w:val="00A260EF"/>
    <w:rsid w:val="00A26259"/>
    <w:rsid w:val="00A266D9"/>
    <w:rsid w:val="00A26A17"/>
    <w:rsid w:val="00A26CF2"/>
    <w:rsid w:val="00A26DFD"/>
    <w:rsid w:val="00A26FFC"/>
    <w:rsid w:val="00A272D3"/>
    <w:rsid w:val="00A27974"/>
    <w:rsid w:val="00A27BAA"/>
    <w:rsid w:val="00A301DD"/>
    <w:rsid w:val="00A31F5B"/>
    <w:rsid w:val="00A32000"/>
    <w:rsid w:val="00A33A14"/>
    <w:rsid w:val="00A33AE5"/>
    <w:rsid w:val="00A33B2C"/>
    <w:rsid w:val="00A33BCA"/>
    <w:rsid w:val="00A344A3"/>
    <w:rsid w:val="00A34A9B"/>
    <w:rsid w:val="00A34B89"/>
    <w:rsid w:val="00A34C96"/>
    <w:rsid w:val="00A34EC6"/>
    <w:rsid w:val="00A34F43"/>
    <w:rsid w:val="00A35065"/>
    <w:rsid w:val="00A35463"/>
    <w:rsid w:val="00A354F7"/>
    <w:rsid w:val="00A3572E"/>
    <w:rsid w:val="00A357D3"/>
    <w:rsid w:val="00A36266"/>
    <w:rsid w:val="00A36494"/>
    <w:rsid w:val="00A3669F"/>
    <w:rsid w:val="00A36F1A"/>
    <w:rsid w:val="00A36F84"/>
    <w:rsid w:val="00A370BB"/>
    <w:rsid w:val="00A3715E"/>
    <w:rsid w:val="00A37198"/>
    <w:rsid w:val="00A3740C"/>
    <w:rsid w:val="00A377C1"/>
    <w:rsid w:val="00A4046D"/>
    <w:rsid w:val="00A4048B"/>
    <w:rsid w:val="00A404F1"/>
    <w:rsid w:val="00A40650"/>
    <w:rsid w:val="00A40DB6"/>
    <w:rsid w:val="00A41045"/>
    <w:rsid w:val="00A41780"/>
    <w:rsid w:val="00A41B39"/>
    <w:rsid w:val="00A41BBB"/>
    <w:rsid w:val="00A41C0C"/>
    <w:rsid w:val="00A41C97"/>
    <w:rsid w:val="00A41CF5"/>
    <w:rsid w:val="00A42256"/>
    <w:rsid w:val="00A422D6"/>
    <w:rsid w:val="00A423A9"/>
    <w:rsid w:val="00A42685"/>
    <w:rsid w:val="00A42B14"/>
    <w:rsid w:val="00A431AA"/>
    <w:rsid w:val="00A43A44"/>
    <w:rsid w:val="00A43C2D"/>
    <w:rsid w:val="00A441F1"/>
    <w:rsid w:val="00A44303"/>
    <w:rsid w:val="00A44B23"/>
    <w:rsid w:val="00A44D1E"/>
    <w:rsid w:val="00A45226"/>
    <w:rsid w:val="00A45510"/>
    <w:rsid w:val="00A45651"/>
    <w:rsid w:val="00A45C20"/>
    <w:rsid w:val="00A46460"/>
    <w:rsid w:val="00A468BD"/>
    <w:rsid w:val="00A4694E"/>
    <w:rsid w:val="00A46D56"/>
    <w:rsid w:val="00A47012"/>
    <w:rsid w:val="00A4744C"/>
    <w:rsid w:val="00A47C62"/>
    <w:rsid w:val="00A47CDB"/>
    <w:rsid w:val="00A47E31"/>
    <w:rsid w:val="00A47E88"/>
    <w:rsid w:val="00A47FE2"/>
    <w:rsid w:val="00A500D4"/>
    <w:rsid w:val="00A50200"/>
    <w:rsid w:val="00A507A7"/>
    <w:rsid w:val="00A50907"/>
    <w:rsid w:val="00A50B6A"/>
    <w:rsid w:val="00A5178E"/>
    <w:rsid w:val="00A517AA"/>
    <w:rsid w:val="00A5196B"/>
    <w:rsid w:val="00A51A41"/>
    <w:rsid w:val="00A52543"/>
    <w:rsid w:val="00A52915"/>
    <w:rsid w:val="00A5298C"/>
    <w:rsid w:val="00A5380C"/>
    <w:rsid w:val="00A53AAC"/>
    <w:rsid w:val="00A53B2B"/>
    <w:rsid w:val="00A53C66"/>
    <w:rsid w:val="00A5468E"/>
    <w:rsid w:val="00A546C0"/>
    <w:rsid w:val="00A5475A"/>
    <w:rsid w:val="00A54899"/>
    <w:rsid w:val="00A54B4F"/>
    <w:rsid w:val="00A54D96"/>
    <w:rsid w:val="00A54DEE"/>
    <w:rsid w:val="00A54FB4"/>
    <w:rsid w:val="00A551AA"/>
    <w:rsid w:val="00A55B4B"/>
    <w:rsid w:val="00A55BF8"/>
    <w:rsid w:val="00A56105"/>
    <w:rsid w:val="00A56CF8"/>
    <w:rsid w:val="00A5742E"/>
    <w:rsid w:val="00A57449"/>
    <w:rsid w:val="00A57706"/>
    <w:rsid w:val="00A57942"/>
    <w:rsid w:val="00A57DFA"/>
    <w:rsid w:val="00A60868"/>
    <w:rsid w:val="00A60B1C"/>
    <w:rsid w:val="00A60CF0"/>
    <w:rsid w:val="00A60E9A"/>
    <w:rsid w:val="00A61027"/>
    <w:rsid w:val="00A61450"/>
    <w:rsid w:val="00A614AC"/>
    <w:rsid w:val="00A614B6"/>
    <w:rsid w:val="00A61E4B"/>
    <w:rsid w:val="00A61F9C"/>
    <w:rsid w:val="00A6219C"/>
    <w:rsid w:val="00A62A57"/>
    <w:rsid w:val="00A62B9E"/>
    <w:rsid w:val="00A62BE6"/>
    <w:rsid w:val="00A62F9E"/>
    <w:rsid w:val="00A63393"/>
    <w:rsid w:val="00A634A2"/>
    <w:rsid w:val="00A634D6"/>
    <w:rsid w:val="00A63835"/>
    <w:rsid w:val="00A638C4"/>
    <w:rsid w:val="00A63DC6"/>
    <w:rsid w:val="00A64257"/>
    <w:rsid w:val="00A645A0"/>
    <w:rsid w:val="00A6488B"/>
    <w:rsid w:val="00A64BA3"/>
    <w:rsid w:val="00A64D2C"/>
    <w:rsid w:val="00A653CD"/>
    <w:rsid w:val="00A65A92"/>
    <w:rsid w:val="00A66198"/>
    <w:rsid w:val="00A66208"/>
    <w:rsid w:val="00A6666A"/>
    <w:rsid w:val="00A67011"/>
    <w:rsid w:val="00A6726D"/>
    <w:rsid w:val="00A679A2"/>
    <w:rsid w:val="00A67A49"/>
    <w:rsid w:val="00A67D65"/>
    <w:rsid w:val="00A67F1E"/>
    <w:rsid w:val="00A70ABB"/>
    <w:rsid w:val="00A7159E"/>
    <w:rsid w:val="00A715A9"/>
    <w:rsid w:val="00A71771"/>
    <w:rsid w:val="00A717E8"/>
    <w:rsid w:val="00A71C83"/>
    <w:rsid w:val="00A71CD0"/>
    <w:rsid w:val="00A71F34"/>
    <w:rsid w:val="00A71FCC"/>
    <w:rsid w:val="00A721D0"/>
    <w:rsid w:val="00A72226"/>
    <w:rsid w:val="00A7267E"/>
    <w:rsid w:val="00A72819"/>
    <w:rsid w:val="00A730D5"/>
    <w:rsid w:val="00A73E54"/>
    <w:rsid w:val="00A73F45"/>
    <w:rsid w:val="00A7406E"/>
    <w:rsid w:val="00A740CD"/>
    <w:rsid w:val="00A740F8"/>
    <w:rsid w:val="00A746FD"/>
    <w:rsid w:val="00A7518B"/>
    <w:rsid w:val="00A753DB"/>
    <w:rsid w:val="00A754AE"/>
    <w:rsid w:val="00A75922"/>
    <w:rsid w:val="00A75A62"/>
    <w:rsid w:val="00A75BBA"/>
    <w:rsid w:val="00A7619A"/>
    <w:rsid w:val="00A762DF"/>
    <w:rsid w:val="00A76BFD"/>
    <w:rsid w:val="00A770FB"/>
    <w:rsid w:val="00A7728E"/>
    <w:rsid w:val="00A77489"/>
    <w:rsid w:val="00A775C7"/>
    <w:rsid w:val="00A77684"/>
    <w:rsid w:val="00A776F9"/>
    <w:rsid w:val="00A80249"/>
    <w:rsid w:val="00A806F3"/>
    <w:rsid w:val="00A80B46"/>
    <w:rsid w:val="00A80CAC"/>
    <w:rsid w:val="00A80FBC"/>
    <w:rsid w:val="00A81441"/>
    <w:rsid w:val="00A817D6"/>
    <w:rsid w:val="00A8195D"/>
    <w:rsid w:val="00A826CC"/>
    <w:rsid w:val="00A8285E"/>
    <w:rsid w:val="00A82872"/>
    <w:rsid w:val="00A82CFB"/>
    <w:rsid w:val="00A839A7"/>
    <w:rsid w:val="00A83FBA"/>
    <w:rsid w:val="00A8429C"/>
    <w:rsid w:val="00A845FC"/>
    <w:rsid w:val="00A84BE0"/>
    <w:rsid w:val="00A84E16"/>
    <w:rsid w:val="00A8505D"/>
    <w:rsid w:val="00A853EC"/>
    <w:rsid w:val="00A85739"/>
    <w:rsid w:val="00A85B3E"/>
    <w:rsid w:val="00A85D9F"/>
    <w:rsid w:val="00A85EEC"/>
    <w:rsid w:val="00A85F8F"/>
    <w:rsid w:val="00A86150"/>
    <w:rsid w:val="00A8694E"/>
    <w:rsid w:val="00A86B2C"/>
    <w:rsid w:val="00A86C6C"/>
    <w:rsid w:val="00A86EB9"/>
    <w:rsid w:val="00A86FC0"/>
    <w:rsid w:val="00A87178"/>
    <w:rsid w:val="00A87282"/>
    <w:rsid w:val="00A87E94"/>
    <w:rsid w:val="00A9048B"/>
    <w:rsid w:val="00A90E63"/>
    <w:rsid w:val="00A90EB4"/>
    <w:rsid w:val="00A91035"/>
    <w:rsid w:val="00A91088"/>
    <w:rsid w:val="00A91ACA"/>
    <w:rsid w:val="00A920F4"/>
    <w:rsid w:val="00A92194"/>
    <w:rsid w:val="00A92A56"/>
    <w:rsid w:val="00A92FF7"/>
    <w:rsid w:val="00A938AB"/>
    <w:rsid w:val="00A9474E"/>
    <w:rsid w:val="00A94EF3"/>
    <w:rsid w:val="00A951E6"/>
    <w:rsid w:val="00A953AE"/>
    <w:rsid w:val="00A956B6"/>
    <w:rsid w:val="00A95B8B"/>
    <w:rsid w:val="00A95BFD"/>
    <w:rsid w:val="00A95CD2"/>
    <w:rsid w:val="00A95D3B"/>
    <w:rsid w:val="00A96040"/>
    <w:rsid w:val="00A9612B"/>
    <w:rsid w:val="00A961DF"/>
    <w:rsid w:val="00A963BF"/>
    <w:rsid w:val="00A96D7A"/>
    <w:rsid w:val="00A96F87"/>
    <w:rsid w:val="00A9701A"/>
    <w:rsid w:val="00AA0615"/>
    <w:rsid w:val="00AA07A1"/>
    <w:rsid w:val="00AA0CB5"/>
    <w:rsid w:val="00AA0E71"/>
    <w:rsid w:val="00AA0F83"/>
    <w:rsid w:val="00AA10A0"/>
    <w:rsid w:val="00AA120F"/>
    <w:rsid w:val="00AA1333"/>
    <w:rsid w:val="00AA14DC"/>
    <w:rsid w:val="00AA176F"/>
    <w:rsid w:val="00AA25C3"/>
    <w:rsid w:val="00AA2A14"/>
    <w:rsid w:val="00AA2A4B"/>
    <w:rsid w:val="00AA31F6"/>
    <w:rsid w:val="00AA4079"/>
    <w:rsid w:val="00AA477C"/>
    <w:rsid w:val="00AA4825"/>
    <w:rsid w:val="00AA4880"/>
    <w:rsid w:val="00AA4DCE"/>
    <w:rsid w:val="00AA4E85"/>
    <w:rsid w:val="00AA507E"/>
    <w:rsid w:val="00AA55D6"/>
    <w:rsid w:val="00AA58B7"/>
    <w:rsid w:val="00AA5A27"/>
    <w:rsid w:val="00AA61E9"/>
    <w:rsid w:val="00AA6324"/>
    <w:rsid w:val="00AA632A"/>
    <w:rsid w:val="00AA6B2F"/>
    <w:rsid w:val="00AA737C"/>
    <w:rsid w:val="00AA7687"/>
    <w:rsid w:val="00AA7AA2"/>
    <w:rsid w:val="00AA7AE5"/>
    <w:rsid w:val="00AA7B80"/>
    <w:rsid w:val="00AB020E"/>
    <w:rsid w:val="00AB03FE"/>
    <w:rsid w:val="00AB04B1"/>
    <w:rsid w:val="00AB0501"/>
    <w:rsid w:val="00AB0C59"/>
    <w:rsid w:val="00AB1012"/>
    <w:rsid w:val="00AB1258"/>
    <w:rsid w:val="00AB226E"/>
    <w:rsid w:val="00AB2349"/>
    <w:rsid w:val="00AB2473"/>
    <w:rsid w:val="00AB2888"/>
    <w:rsid w:val="00AB2C05"/>
    <w:rsid w:val="00AB32F4"/>
    <w:rsid w:val="00AB331B"/>
    <w:rsid w:val="00AB3407"/>
    <w:rsid w:val="00AB3520"/>
    <w:rsid w:val="00AB37CF"/>
    <w:rsid w:val="00AB3DA8"/>
    <w:rsid w:val="00AB3E06"/>
    <w:rsid w:val="00AB4138"/>
    <w:rsid w:val="00AB441B"/>
    <w:rsid w:val="00AB46B9"/>
    <w:rsid w:val="00AB4A25"/>
    <w:rsid w:val="00AB4A83"/>
    <w:rsid w:val="00AB5253"/>
    <w:rsid w:val="00AB5A85"/>
    <w:rsid w:val="00AB5AD1"/>
    <w:rsid w:val="00AB5F7B"/>
    <w:rsid w:val="00AB7442"/>
    <w:rsid w:val="00AB7559"/>
    <w:rsid w:val="00AB77D4"/>
    <w:rsid w:val="00AB7802"/>
    <w:rsid w:val="00AB7C55"/>
    <w:rsid w:val="00AB7D20"/>
    <w:rsid w:val="00AB7EC1"/>
    <w:rsid w:val="00AC00A4"/>
    <w:rsid w:val="00AC0202"/>
    <w:rsid w:val="00AC0C04"/>
    <w:rsid w:val="00AC1125"/>
    <w:rsid w:val="00AC125F"/>
    <w:rsid w:val="00AC13A9"/>
    <w:rsid w:val="00AC166F"/>
    <w:rsid w:val="00AC1AAA"/>
    <w:rsid w:val="00AC1AB2"/>
    <w:rsid w:val="00AC1C86"/>
    <w:rsid w:val="00AC2952"/>
    <w:rsid w:val="00AC2AF0"/>
    <w:rsid w:val="00AC2C2C"/>
    <w:rsid w:val="00AC307B"/>
    <w:rsid w:val="00AC3476"/>
    <w:rsid w:val="00AC3598"/>
    <w:rsid w:val="00AC3FDD"/>
    <w:rsid w:val="00AC421B"/>
    <w:rsid w:val="00AC4443"/>
    <w:rsid w:val="00AC4676"/>
    <w:rsid w:val="00AC4D29"/>
    <w:rsid w:val="00AC5246"/>
    <w:rsid w:val="00AC59DA"/>
    <w:rsid w:val="00AC5A2E"/>
    <w:rsid w:val="00AC62C2"/>
    <w:rsid w:val="00AC66DD"/>
    <w:rsid w:val="00AC6734"/>
    <w:rsid w:val="00AC69FE"/>
    <w:rsid w:val="00AC7931"/>
    <w:rsid w:val="00AC7B19"/>
    <w:rsid w:val="00AC7F64"/>
    <w:rsid w:val="00AD0996"/>
    <w:rsid w:val="00AD0ECE"/>
    <w:rsid w:val="00AD0F1B"/>
    <w:rsid w:val="00AD129F"/>
    <w:rsid w:val="00AD2503"/>
    <w:rsid w:val="00AD25F4"/>
    <w:rsid w:val="00AD2F9C"/>
    <w:rsid w:val="00AD32D8"/>
    <w:rsid w:val="00AD32EA"/>
    <w:rsid w:val="00AD337A"/>
    <w:rsid w:val="00AD3802"/>
    <w:rsid w:val="00AD3BA9"/>
    <w:rsid w:val="00AD3C5F"/>
    <w:rsid w:val="00AD3DD6"/>
    <w:rsid w:val="00AD4082"/>
    <w:rsid w:val="00AD408C"/>
    <w:rsid w:val="00AD4277"/>
    <w:rsid w:val="00AD49D8"/>
    <w:rsid w:val="00AD563C"/>
    <w:rsid w:val="00AD58AD"/>
    <w:rsid w:val="00AD5C0E"/>
    <w:rsid w:val="00AD5FA1"/>
    <w:rsid w:val="00AD61BB"/>
    <w:rsid w:val="00AD62C8"/>
    <w:rsid w:val="00AD638A"/>
    <w:rsid w:val="00AD63BA"/>
    <w:rsid w:val="00AD6D25"/>
    <w:rsid w:val="00AD6DFD"/>
    <w:rsid w:val="00AD6E1F"/>
    <w:rsid w:val="00AD6F39"/>
    <w:rsid w:val="00AD7376"/>
    <w:rsid w:val="00AD7494"/>
    <w:rsid w:val="00AD790B"/>
    <w:rsid w:val="00AD7CE9"/>
    <w:rsid w:val="00AD7FC2"/>
    <w:rsid w:val="00AE00AD"/>
    <w:rsid w:val="00AE07D4"/>
    <w:rsid w:val="00AE0802"/>
    <w:rsid w:val="00AE0D8D"/>
    <w:rsid w:val="00AE0F93"/>
    <w:rsid w:val="00AE112B"/>
    <w:rsid w:val="00AE1EB6"/>
    <w:rsid w:val="00AE27A1"/>
    <w:rsid w:val="00AE28A4"/>
    <w:rsid w:val="00AE2FEB"/>
    <w:rsid w:val="00AE3565"/>
    <w:rsid w:val="00AE3949"/>
    <w:rsid w:val="00AE3B36"/>
    <w:rsid w:val="00AE3D96"/>
    <w:rsid w:val="00AE40BF"/>
    <w:rsid w:val="00AE4639"/>
    <w:rsid w:val="00AE47D0"/>
    <w:rsid w:val="00AE4CD3"/>
    <w:rsid w:val="00AE541F"/>
    <w:rsid w:val="00AE56B1"/>
    <w:rsid w:val="00AE5780"/>
    <w:rsid w:val="00AE5B40"/>
    <w:rsid w:val="00AE5B80"/>
    <w:rsid w:val="00AE5EE2"/>
    <w:rsid w:val="00AE7B41"/>
    <w:rsid w:val="00AE7BFB"/>
    <w:rsid w:val="00AF0634"/>
    <w:rsid w:val="00AF0B72"/>
    <w:rsid w:val="00AF0B85"/>
    <w:rsid w:val="00AF0F60"/>
    <w:rsid w:val="00AF1210"/>
    <w:rsid w:val="00AF188C"/>
    <w:rsid w:val="00AF19AA"/>
    <w:rsid w:val="00AF1CEA"/>
    <w:rsid w:val="00AF203C"/>
    <w:rsid w:val="00AF233A"/>
    <w:rsid w:val="00AF249C"/>
    <w:rsid w:val="00AF2B7A"/>
    <w:rsid w:val="00AF385E"/>
    <w:rsid w:val="00AF4402"/>
    <w:rsid w:val="00AF45E3"/>
    <w:rsid w:val="00AF4637"/>
    <w:rsid w:val="00AF4C43"/>
    <w:rsid w:val="00AF4C62"/>
    <w:rsid w:val="00AF4EE5"/>
    <w:rsid w:val="00AF51F9"/>
    <w:rsid w:val="00AF546E"/>
    <w:rsid w:val="00AF5A37"/>
    <w:rsid w:val="00AF5BB2"/>
    <w:rsid w:val="00AF5EF3"/>
    <w:rsid w:val="00AF6D0E"/>
    <w:rsid w:val="00AF6F07"/>
    <w:rsid w:val="00AF74D0"/>
    <w:rsid w:val="00AF7BA2"/>
    <w:rsid w:val="00B000CD"/>
    <w:rsid w:val="00B000FC"/>
    <w:rsid w:val="00B00663"/>
    <w:rsid w:val="00B006BC"/>
    <w:rsid w:val="00B00735"/>
    <w:rsid w:val="00B00ABD"/>
    <w:rsid w:val="00B00B32"/>
    <w:rsid w:val="00B00BE1"/>
    <w:rsid w:val="00B013C4"/>
    <w:rsid w:val="00B0144E"/>
    <w:rsid w:val="00B01495"/>
    <w:rsid w:val="00B01CD5"/>
    <w:rsid w:val="00B01E52"/>
    <w:rsid w:val="00B02257"/>
    <w:rsid w:val="00B02935"/>
    <w:rsid w:val="00B02D28"/>
    <w:rsid w:val="00B03416"/>
    <w:rsid w:val="00B035B9"/>
    <w:rsid w:val="00B0372C"/>
    <w:rsid w:val="00B03EE2"/>
    <w:rsid w:val="00B046D5"/>
    <w:rsid w:val="00B047F8"/>
    <w:rsid w:val="00B04E13"/>
    <w:rsid w:val="00B05007"/>
    <w:rsid w:val="00B0507D"/>
    <w:rsid w:val="00B0549C"/>
    <w:rsid w:val="00B05C06"/>
    <w:rsid w:val="00B065DA"/>
    <w:rsid w:val="00B06932"/>
    <w:rsid w:val="00B0719F"/>
    <w:rsid w:val="00B07347"/>
    <w:rsid w:val="00B0734A"/>
    <w:rsid w:val="00B07BAA"/>
    <w:rsid w:val="00B07DDA"/>
    <w:rsid w:val="00B07E59"/>
    <w:rsid w:val="00B10185"/>
    <w:rsid w:val="00B10427"/>
    <w:rsid w:val="00B1051D"/>
    <w:rsid w:val="00B10753"/>
    <w:rsid w:val="00B10777"/>
    <w:rsid w:val="00B110B7"/>
    <w:rsid w:val="00B111CA"/>
    <w:rsid w:val="00B1181A"/>
    <w:rsid w:val="00B11EFB"/>
    <w:rsid w:val="00B11FFA"/>
    <w:rsid w:val="00B12066"/>
    <w:rsid w:val="00B12329"/>
    <w:rsid w:val="00B12463"/>
    <w:rsid w:val="00B12BEE"/>
    <w:rsid w:val="00B132E4"/>
    <w:rsid w:val="00B13303"/>
    <w:rsid w:val="00B13430"/>
    <w:rsid w:val="00B13673"/>
    <w:rsid w:val="00B13D9D"/>
    <w:rsid w:val="00B13F04"/>
    <w:rsid w:val="00B14907"/>
    <w:rsid w:val="00B14DAD"/>
    <w:rsid w:val="00B15EEB"/>
    <w:rsid w:val="00B1690E"/>
    <w:rsid w:val="00B16C38"/>
    <w:rsid w:val="00B16DE7"/>
    <w:rsid w:val="00B17277"/>
    <w:rsid w:val="00B173D2"/>
    <w:rsid w:val="00B17F5F"/>
    <w:rsid w:val="00B20319"/>
    <w:rsid w:val="00B20866"/>
    <w:rsid w:val="00B20F7D"/>
    <w:rsid w:val="00B21078"/>
    <w:rsid w:val="00B210AF"/>
    <w:rsid w:val="00B2123E"/>
    <w:rsid w:val="00B216C0"/>
    <w:rsid w:val="00B221B5"/>
    <w:rsid w:val="00B223FF"/>
    <w:rsid w:val="00B225C5"/>
    <w:rsid w:val="00B226FB"/>
    <w:rsid w:val="00B2294B"/>
    <w:rsid w:val="00B23057"/>
    <w:rsid w:val="00B23231"/>
    <w:rsid w:val="00B23698"/>
    <w:rsid w:val="00B2397E"/>
    <w:rsid w:val="00B23999"/>
    <w:rsid w:val="00B23C77"/>
    <w:rsid w:val="00B243A0"/>
    <w:rsid w:val="00B24DA4"/>
    <w:rsid w:val="00B2508E"/>
    <w:rsid w:val="00B251A9"/>
    <w:rsid w:val="00B252A7"/>
    <w:rsid w:val="00B2561B"/>
    <w:rsid w:val="00B256E7"/>
    <w:rsid w:val="00B2630D"/>
    <w:rsid w:val="00B26CB3"/>
    <w:rsid w:val="00B26D22"/>
    <w:rsid w:val="00B272D0"/>
    <w:rsid w:val="00B2795C"/>
    <w:rsid w:val="00B27CC4"/>
    <w:rsid w:val="00B27E14"/>
    <w:rsid w:val="00B3009F"/>
    <w:rsid w:val="00B302AB"/>
    <w:rsid w:val="00B30729"/>
    <w:rsid w:val="00B30828"/>
    <w:rsid w:val="00B30BA9"/>
    <w:rsid w:val="00B30D1D"/>
    <w:rsid w:val="00B30EA7"/>
    <w:rsid w:val="00B31158"/>
    <w:rsid w:val="00B31E0A"/>
    <w:rsid w:val="00B327F3"/>
    <w:rsid w:val="00B327F8"/>
    <w:rsid w:val="00B32885"/>
    <w:rsid w:val="00B329BC"/>
    <w:rsid w:val="00B32C7A"/>
    <w:rsid w:val="00B33065"/>
    <w:rsid w:val="00B33420"/>
    <w:rsid w:val="00B337A8"/>
    <w:rsid w:val="00B33D3D"/>
    <w:rsid w:val="00B34402"/>
    <w:rsid w:val="00B34B83"/>
    <w:rsid w:val="00B34E83"/>
    <w:rsid w:val="00B34EB3"/>
    <w:rsid w:val="00B34F27"/>
    <w:rsid w:val="00B34F2B"/>
    <w:rsid w:val="00B35949"/>
    <w:rsid w:val="00B35F90"/>
    <w:rsid w:val="00B36460"/>
    <w:rsid w:val="00B365CF"/>
    <w:rsid w:val="00B36803"/>
    <w:rsid w:val="00B36A63"/>
    <w:rsid w:val="00B3756E"/>
    <w:rsid w:val="00B37BEA"/>
    <w:rsid w:val="00B37C8A"/>
    <w:rsid w:val="00B40A96"/>
    <w:rsid w:val="00B41550"/>
    <w:rsid w:val="00B4155D"/>
    <w:rsid w:val="00B4180C"/>
    <w:rsid w:val="00B41A6A"/>
    <w:rsid w:val="00B425AF"/>
    <w:rsid w:val="00B4295C"/>
    <w:rsid w:val="00B42A94"/>
    <w:rsid w:val="00B42AE5"/>
    <w:rsid w:val="00B42BF0"/>
    <w:rsid w:val="00B433B7"/>
    <w:rsid w:val="00B4374D"/>
    <w:rsid w:val="00B438B7"/>
    <w:rsid w:val="00B43E28"/>
    <w:rsid w:val="00B44C7E"/>
    <w:rsid w:val="00B451FD"/>
    <w:rsid w:val="00B46067"/>
    <w:rsid w:val="00B46100"/>
    <w:rsid w:val="00B462F7"/>
    <w:rsid w:val="00B46797"/>
    <w:rsid w:val="00B47587"/>
    <w:rsid w:val="00B47882"/>
    <w:rsid w:val="00B47FA6"/>
    <w:rsid w:val="00B5006B"/>
    <w:rsid w:val="00B5028D"/>
    <w:rsid w:val="00B502BA"/>
    <w:rsid w:val="00B50496"/>
    <w:rsid w:val="00B5082A"/>
    <w:rsid w:val="00B50FA0"/>
    <w:rsid w:val="00B51561"/>
    <w:rsid w:val="00B517A4"/>
    <w:rsid w:val="00B51EDA"/>
    <w:rsid w:val="00B520F6"/>
    <w:rsid w:val="00B52635"/>
    <w:rsid w:val="00B5278C"/>
    <w:rsid w:val="00B52D21"/>
    <w:rsid w:val="00B52D8A"/>
    <w:rsid w:val="00B52E13"/>
    <w:rsid w:val="00B52E61"/>
    <w:rsid w:val="00B53435"/>
    <w:rsid w:val="00B53615"/>
    <w:rsid w:val="00B5387D"/>
    <w:rsid w:val="00B53FBA"/>
    <w:rsid w:val="00B54159"/>
    <w:rsid w:val="00B542E6"/>
    <w:rsid w:val="00B54446"/>
    <w:rsid w:val="00B54F00"/>
    <w:rsid w:val="00B5551C"/>
    <w:rsid w:val="00B55614"/>
    <w:rsid w:val="00B556B8"/>
    <w:rsid w:val="00B55AA6"/>
    <w:rsid w:val="00B5663D"/>
    <w:rsid w:val="00B569EB"/>
    <w:rsid w:val="00B569FF"/>
    <w:rsid w:val="00B56C23"/>
    <w:rsid w:val="00B571C8"/>
    <w:rsid w:val="00B5736E"/>
    <w:rsid w:val="00B57515"/>
    <w:rsid w:val="00B57BA7"/>
    <w:rsid w:val="00B57F89"/>
    <w:rsid w:val="00B6027F"/>
    <w:rsid w:val="00B6064F"/>
    <w:rsid w:val="00B60F1F"/>
    <w:rsid w:val="00B61019"/>
    <w:rsid w:val="00B610DF"/>
    <w:rsid w:val="00B6135D"/>
    <w:rsid w:val="00B6172A"/>
    <w:rsid w:val="00B61EB8"/>
    <w:rsid w:val="00B61F9E"/>
    <w:rsid w:val="00B62026"/>
    <w:rsid w:val="00B62D95"/>
    <w:rsid w:val="00B630EE"/>
    <w:rsid w:val="00B631C4"/>
    <w:rsid w:val="00B63283"/>
    <w:rsid w:val="00B632A1"/>
    <w:rsid w:val="00B63428"/>
    <w:rsid w:val="00B636E6"/>
    <w:rsid w:val="00B6375D"/>
    <w:rsid w:val="00B64136"/>
    <w:rsid w:val="00B643BC"/>
    <w:rsid w:val="00B647AD"/>
    <w:rsid w:val="00B64B90"/>
    <w:rsid w:val="00B64CCD"/>
    <w:rsid w:val="00B651D9"/>
    <w:rsid w:val="00B654EB"/>
    <w:rsid w:val="00B65E0F"/>
    <w:rsid w:val="00B65F6F"/>
    <w:rsid w:val="00B664CB"/>
    <w:rsid w:val="00B6669A"/>
    <w:rsid w:val="00B6676F"/>
    <w:rsid w:val="00B66B59"/>
    <w:rsid w:val="00B66D32"/>
    <w:rsid w:val="00B67080"/>
    <w:rsid w:val="00B67336"/>
    <w:rsid w:val="00B678C9"/>
    <w:rsid w:val="00B679A7"/>
    <w:rsid w:val="00B67E8A"/>
    <w:rsid w:val="00B70059"/>
    <w:rsid w:val="00B70097"/>
    <w:rsid w:val="00B70278"/>
    <w:rsid w:val="00B70369"/>
    <w:rsid w:val="00B70643"/>
    <w:rsid w:val="00B7097C"/>
    <w:rsid w:val="00B70BDE"/>
    <w:rsid w:val="00B70D1C"/>
    <w:rsid w:val="00B7128F"/>
    <w:rsid w:val="00B71D07"/>
    <w:rsid w:val="00B71E05"/>
    <w:rsid w:val="00B72224"/>
    <w:rsid w:val="00B729E5"/>
    <w:rsid w:val="00B72A12"/>
    <w:rsid w:val="00B72BFC"/>
    <w:rsid w:val="00B72C04"/>
    <w:rsid w:val="00B73966"/>
    <w:rsid w:val="00B73B49"/>
    <w:rsid w:val="00B7403E"/>
    <w:rsid w:val="00B742EC"/>
    <w:rsid w:val="00B74954"/>
    <w:rsid w:val="00B75492"/>
    <w:rsid w:val="00B754DE"/>
    <w:rsid w:val="00B75877"/>
    <w:rsid w:val="00B759A3"/>
    <w:rsid w:val="00B76621"/>
    <w:rsid w:val="00B76ADC"/>
    <w:rsid w:val="00B76AFD"/>
    <w:rsid w:val="00B76B44"/>
    <w:rsid w:val="00B7726A"/>
    <w:rsid w:val="00B773B7"/>
    <w:rsid w:val="00B774B4"/>
    <w:rsid w:val="00B77877"/>
    <w:rsid w:val="00B77B6B"/>
    <w:rsid w:val="00B77BAB"/>
    <w:rsid w:val="00B77F7C"/>
    <w:rsid w:val="00B8002E"/>
    <w:rsid w:val="00B804DF"/>
    <w:rsid w:val="00B804F8"/>
    <w:rsid w:val="00B806A8"/>
    <w:rsid w:val="00B809DB"/>
    <w:rsid w:val="00B80D01"/>
    <w:rsid w:val="00B81712"/>
    <w:rsid w:val="00B81AB4"/>
    <w:rsid w:val="00B81F2F"/>
    <w:rsid w:val="00B823BB"/>
    <w:rsid w:val="00B8290F"/>
    <w:rsid w:val="00B82C30"/>
    <w:rsid w:val="00B82D32"/>
    <w:rsid w:val="00B82D66"/>
    <w:rsid w:val="00B832F9"/>
    <w:rsid w:val="00B83A0A"/>
    <w:rsid w:val="00B83AA0"/>
    <w:rsid w:val="00B83F76"/>
    <w:rsid w:val="00B8435A"/>
    <w:rsid w:val="00B84774"/>
    <w:rsid w:val="00B8480C"/>
    <w:rsid w:val="00B84D21"/>
    <w:rsid w:val="00B8510A"/>
    <w:rsid w:val="00B85237"/>
    <w:rsid w:val="00B856C7"/>
    <w:rsid w:val="00B857F0"/>
    <w:rsid w:val="00B85F51"/>
    <w:rsid w:val="00B85F86"/>
    <w:rsid w:val="00B866F5"/>
    <w:rsid w:val="00B86C20"/>
    <w:rsid w:val="00B87630"/>
    <w:rsid w:val="00B87B4E"/>
    <w:rsid w:val="00B87F10"/>
    <w:rsid w:val="00B904A1"/>
    <w:rsid w:val="00B908F8"/>
    <w:rsid w:val="00B911F1"/>
    <w:rsid w:val="00B912C9"/>
    <w:rsid w:val="00B916BF"/>
    <w:rsid w:val="00B91829"/>
    <w:rsid w:val="00B91912"/>
    <w:rsid w:val="00B91B51"/>
    <w:rsid w:val="00B91C9C"/>
    <w:rsid w:val="00B922C6"/>
    <w:rsid w:val="00B923F2"/>
    <w:rsid w:val="00B92E21"/>
    <w:rsid w:val="00B93093"/>
    <w:rsid w:val="00B938D3"/>
    <w:rsid w:val="00B93DFC"/>
    <w:rsid w:val="00B93FA7"/>
    <w:rsid w:val="00B945D6"/>
    <w:rsid w:val="00B95459"/>
    <w:rsid w:val="00B958FF"/>
    <w:rsid w:val="00B95B69"/>
    <w:rsid w:val="00B962C3"/>
    <w:rsid w:val="00B963F3"/>
    <w:rsid w:val="00B9682D"/>
    <w:rsid w:val="00B96A5D"/>
    <w:rsid w:val="00B96C15"/>
    <w:rsid w:val="00B96C3F"/>
    <w:rsid w:val="00B96E81"/>
    <w:rsid w:val="00B977F7"/>
    <w:rsid w:val="00B97DA5"/>
    <w:rsid w:val="00BA0445"/>
    <w:rsid w:val="00BA06A2"/>
    <w:rsid w:val="00BA097B"/>
    <w:rsid w:val="00BA0B20"/>
    <w:rsid w:val="00BA16C9"/>
    <w:rsid w:val="00BA1873"/>
    <w:rsid w:val="00BA1C5E"/>
    <w:rsid w:val="00BA1EC3"/>
    <w:rsid w:val="00BA28A6"/>
    <w:rsid w:val="00BA3015"/>
    <w:rsid w:val="00BA334C"/>
    <w:rsid w:val="00BA3411"/>
    <w:rsid w:val="00BA367C"/>
    <w:rsid w:val="00BA3854"/>
    <w:rsid w:val="00BA4377"/>
    <w:rsid w:val="00BA4583"/>
    <w:rsid w:val="00BA48DC"/>
    <w:rsid w:val="00BA4ACF"/>
    <w:rsid w:val="00BA534D"/>
    <w:rsid w:val="00BA590A"/>
    <w:rsid w:val="00BA5A19"/>
    <w:rsid w:val="00BA5DFB"/>
    <w:rsid w:val="00BA65AD"/>
    <w:rsid w:val="00BA6F1F"/>
    <w:rsid w:val="00BA72EB"/>
    <w:rsid w:val="00BB019A"/>
    <w:rsid w:val="00BB0373"/>
    <w:rsid w:val="00BB03A4"/>
    <w:rsid w:val="00BB06CD"/>
    <w:rsid w:val="00BB0969"/>
    <w:rsid w:val="00BB0D8A"/>
    <w:rsid w:val="00BB0E77"/>
    <w:rsid w:val="00BB0EC6"/>
    <w:rsid w:val="00BB0EFD"/>
    <w:rsid w:val="00BB0FB8"/>
    <w:rsid w:val="00BB112E"/>
    <w:rsid w:val="00BB1278"/>
    <w:rsid w:val="00BB1281"/>
    <w:rsid w:val="00BB1A27"/>
    <w:rsid w:val="00BB1ABE"/>
    <w:rsid w:val="00BB1E75"/>
    <w:rsid w:val="00BB27DB"/>
    <w:rsid w:val="00BB2A83"/>
    <w:rsid w:val="00BB2D26"/>
    <w:rsid w:val="00BB3BE3"/>
    <w:rsid w:val="00BB4001"/>
    <w:rsid w:val="00BB46BC"/>
    <w:rsid w:val="00BB485E"/>
    <w:rsid w:val="00BB4CD7"/>
    <w:rsid w:val="00BB4F8D"/>
    <w:rsid w:val="00BB548B"/>
    <w:rsid w:val="00BB597E"/>
    <w:rsid w:val="00BB5B94"/>
    <w:rsid w:val="00BB5D20"/>
    <w:rsid w:val="00BB643C"/>
    <w:rsid w:val="00BB6A43"/>
    <w:rsid w:val="00BB6AA7"/>
    <w:rsid w:val="00BB6ABB"/>
    <w:rsid w:val="00BB6CE8"/>
    <w:rsid w:val="00BB6D1C"/>
    <w:rsid w:val="00BB7395"/>
    <w:rsid w:val="00BB76D2"/>
    <w:rsid w:val="00BB77DC"/>
    <w:rsid w:val="00BB788A"/>
    <w:rsid w:val="00BB7CE6"/>
    <w:rsid w:val="00BC09E0"/>
    <w:rsid w:val="00BC0B41"/>
    <w:rsid w:val="00BC0B5D"/>
    <w:rsid w:val="00BC0C96"/>
    <w:rsid w:val="00BC1501"/>
    <w:rsid w:val="00BC2600"/>
    <w:rsid w:val="00BC26D6"/>
    <w:rsid w:val="00BC2A03"/>
    <w:rsid w:val="00BC2B9A"/>
    <w:rsid w:val="00BC2F89"/>
    <w:rsid w:val="00BC3AC9"/>
    <w:rsid w:val="00BC3D30"/>
    <w:rsid w:val="00BC3FBC"/>
    <w:rsid w:val="00BC42D5"/>
    <w:rsid w:val="00BC4454"/>
    <w:rsid w:val="00BC4709"/>
    <w:rsid w:val="00BC4732"/>
    <w:rsid w:val="00BC47EA"/>
    <w:rsid w:val="00BC47F3"/>
    <w:rsid w:val="00BC48C8"/>
    <w:rsid w:val="00BC4CF8"/>
    <w:rsid w:val="00BC4DAB"/>
    <w:rsid w:val="00BC5108"/>
    <w:rsid w:val="00BC5598"/>
    <w:rsid w:val="00BC5628"/>
    <w:rsid w:val="00BC5992"/>
    <w:rsid w:val="00BC5E59"/>
    <w:rsid w:val="00BC6313"/>
    <w:rsid w:val="00BC635F"/>
    <w:rsid w:val="00BC6929"/>
    <w:rsid w:val="00BC6E11"/>
    <w:rsid w:val="00BC6FE3"/>
    <w:rsid w:val="00BC7B42"/>
    <w:rsid w:val="00BD0265"/>
    <w:rsid w:val="00BD095B"/>
    <w:rsid w:val="00BD0DAC"/>
    <w:rsid w:val="00BD0EDC"/>
    <w:rsid w:val="00BD107D"/>
    <w:rsid w:val="00BD12B3"/>
    <w:rsid w:val="00BD13A4"/>
    <w:rsid w:val="00BD1500"/>
    <w:rsid w:val="00BD163A"/>
    <w:rsid w:val="00BD1994"/>
    <w:rsid w:val="00BD1A1A"/>
    <w:rsid w:val="00BD1BF7"/>
    <w:rsid w:val="00BD20DB"/>
    <w:rsid w:val="00BD26C8"/>
    <w:rsid w:val="00BD26FE"/>
    <w:rsid w:val="00BD29F1"/>
    <w:rsid w:val="00BD309D"/>
    <w:rsid w:val="00BD35F0"/>
    <w:rsid w:val="00BD37C0"/>
    <w:rsid w:val="00BD37DB"/>
    <w:rsid w:val="00BD3C73"/>
    <w:rsid w:val="00BD3DE2"/>
    <w:rsid w:val="00BD5A45"/>
    <w:rsid w:val="00BD5BA1"/>
    <w:rsid w:val="00BD6380"/>
    <w:rsid w:val="00BD68C7"/>
    <w:rsid w:val="00BD6B87"/>
    <w:rsid w:val="00BD7461"/>
    <w:rsid w:val="00BD74C3"/>
    <w:rsid w:val="00BD7EDE"/>
    <w:rsid w:val="00BE0150"/>
    <w:rsid w:val="00BE024C"/>
    <w:rsid w:val="00BE0A0B"/>
    <w:rsid w:val="00BE0E24"/>
    <w:rsid w:val="00BE1C6F"/>
    <w:rsid w:val="00BE2194"/>
    <w:rsid w:val="00BE27FA"/>
    <w:rsid w:val="00BE287D"/>
    <w:rsid w:val="00BE33D3"/>
    <w:rsid w:val="00BE3569"/>
    <w:rsid w:val="00BE3E03"/>
    <w:rsid w:val="00BE4075"/>
    <w:rsid w:val="00BE41A4"/>
    <w:rsid w:val="00BE464D"/>
    <w:rsid w:val="00BE47DC"/>
    <w:rsid w:val="00BE4AFA"/>
    <w:rsid w:val="00BE4B43"/>
    <w:rsid w:val="00BE4B9A"/>
    <w:rsid w:val="00BE4FA1"/>
    <w:rsid w:val="00BE4FE0"/>
    <w:rsid w:val="00BE527B"/>
    <w:rsid w:val="00BE52E4"/>
    <w:rsid w:val="00BE5551"/>
    <w:rsid w:val="00BE5889"/>
    <w:rsid w:val="00BE5E0D"/>
    <w:rsid w:val="00BE5F8A"/>
    <w:rsid w:val="00BE61A7"/>
    <w:rsid w:val="00BE6252"/>
    <w:rsid w:val="00BE64B4"/>
    <w:rsid w:val="00BE6C07"/>
    <w:rsid w:val="00BE6C23"/>
    <w:rsid w:val="00BE6D74"/>
    <w:rsid w:val="00BE7289"/>
    <w:rsid w:val="00BE733C"/>
    <w:rsid w:val="00BF03F7"/>
    <w:rsid w:val="00BF0834"/>
    <w:rsid w:val="00BF085B"/>
    <w:rsid w:val="00BF0A92"/>
    <w:rsid w:val="00BF0F5E"/>
    <w:rsid w:val="00BF15C6"/>
    <w:rsid w:val="00BF1683"/>
    <w:rsid w:val="00BF1B22"/>
    <w:rsid w:val="00BF1C59"/>
    <w:rsid w:val="00BF1FD2"/>
    <w:rsid w:val="00BF202E"/>
    <w:rsid w:val="00BF213E"/>
    <w:rsid w:val="00BF230B"/>
    <w:rsid w:val="00BF24CD"/>
    <w:rsid w:val="00BF2673"/>
    <w:rsid w:val="00BF2D32"/>
    <w:rsid w:val="00BF2EDE"/>
    <w:rsid w:val="00BF30E4"/>
    <w:rsid w:val="00BF33BA"/>
    <w:rsid w:val="00BF3481"/>
    <w:rsid w:val="00BF36C6"/>
    <w:rsid w:val="00BF374D"/>
    <w:rsid w:val="00BF3BBF"/>
    <w:rsid w:val="00BF3C73"/>
    <w:rsid w:val="00BF41C2"/>
    <w:rsid w:val="00BF424C"/>
    <w:rsid w:val="00BF43EA"/>
    <w:rsid w:val="00BF4619"/>
    <w:rsid w:val="00BF496C"/>
    <w:rsid w:val="00BF4F4A"/>
    <w:rsid w:val="00BF55DF"/>
    <w:rsid w:val="00BF6023"/>
    <w:rsid w:val="00BF62BF"/>
    <w:rsid w:val="00BF6B05"/>
    <w:rsid w:val="00BF6BE0"/>
    <w:rsid w:val="00BF6C17"/>
    <w:rsid w:val="00BF729E"/>
    <w:rsid w:val="00BF743A"/>
    <w:rsid w:val="00BF78B3"/>
    <w:rsid w:val="00BF79DD"/>
    <w:rsid w:val="00BF7B7B"/>
    <w:rsid w:val="00BF7D36"/>
    <w:rsid w:val="00C0109D"/>
    <w:rsid w:val="00C0140D"/>
    <w:rsid w:val="00C01898"/>
    <w:rsid w:val="00C01B50"/>
    <w:rsid w:val="00C01B8A"/>
    <w:rsid w:val="00C01E06"/>
    <w:rsid w:val="00C02633"/>
    <w:rsid w:val="00C03BEB"/>
    <w:rsid w:val="00C03D8C"/>
    <w:rsid w:val="00C03F9A"/>
    <w:rsid w:val="00C04096"/>
    <w:rsid w:val="00C04639"/>
    <w:rsid w:val="00C04D68"/>
    <w:rsid w:val="00C04EB3"/>
    <w:rsid w:val="00C04F08"/>
    <w:rsid w:val="00C05595"/>
    <w:rsid w:val="00C056F0"/>
    <w:rsid w:val="00C05DF0"/>
    <w:rsid w:val="00C05E88"/>
    <w:rsid w:val="00C05F95"/>
    <w:rsid w:val="00C0685F"/>
    <w:rsid w:val="00C074FB"/>
    <w:rsid w:val="00C07DB7"/>
    <w:rsid w:val="00C100EB"/>
    <w:rsid w:val="00C10298"/>
    <w:rsid w:val="00C10419"/>
    <w:rsid w:val="00C1060D"/>
    <w:rsid w:val="00C1069B"/>
    <w:rsid w:val="00C106E9"/>
    <w:rsid w:val="00C10908"/>
    <w:rsid w:val="00C10B6E"/>
    <w:rsid w:val="00C10BB9"/>
    <w:rsid w:val="00C10D5A"/>
    <w:rsid w:val="00C10E02"/>
    <w:rsid w:val="00C11590"/>
    <w:rsid w:val="00C127C8"/>
    <w:rsid w:val="00C12FD9"/>
    <w:rsid w:val="00C132DD"/>
    <w:rsid w:val="00C137A2"/>
    <w:rsid w:val="00C14508"/>
    <w:rsid w:val="00C14A2C"/>
    <w:rsid w:val="00C14A65"/>
    <w:rsid w:val="00C14BDA"/>
    <w:rsid w:val="00C14EE6"/>
    <w:rsid w:val="00C15588"/>
    <w:rsid w:val="00C156BD"/>
    <w:rsid w:val="00C16830"/>
    <w:rsid w:val="00C16A80"/>
    <w:rsid w:val="00C17E8F"/>
    <w:rsid w:val="00C20521"/>
    <w:rsid w:val="00C205A1"/>
    <w:rsid w:val="00C206F5"/>
    <w:rsid w:val="00C2091E"/>
    <w:rsid w:val="00C209ED"/>
    <w:rsid w:val="00C20A5B"/>
    <w:rsid w:val="00C20AF4"/>
    <w:rsid w:val="00C210C8"/>
    <w:rsid w:val="00C211DB"/>
    <w:rsid w:val="00C218DA"/>
    <w:rsid w:val="00C22206"/>
    <w:rsid w:val="00C223D6"/>
    <w:rsid w:val="00C22420"/>
    <w:rsid w:val="00C22896"/>
    <w:rsid w:val="00C230B2"/>
    <w:rsid w:val="00C2344B"/>
    <w:rsid w:val="00C2346C"/>
    <w:rsid w:val="00C2384B"/>
    <w:rsid w:val="00C23E44"/>
    <w:rsid w:val="00C23E6A"/>
    <w:rsid w:val="00C2412F"/>
    <w:rsid w:val="00C24337"/>
    <w:rsid w:val="00C244CA"/>
    <w:rsid w:val="00C2482D"/>
    <w:rsid w:val="00C24B07"/>
    <w:rsid w:val="00C25077"/>
    <w:rsid w:val="00C2510E"/>
    <w:rsid w:val="00C25479"/>
    <w:rsid w:val="00C254BE"/>
    <w:rsid w:val="00C25536"/>
    <w:rsid w:val="00C256F4"/>
    <w:rsid w:val="00C258CB"/>
    <w:rsid w:val="00C26575"/>
    <w:rsid w:val="00C2669B"/>
    <w:rsid w:val="00C26D3F"/>
    <w:rsid w:val="00C27276"/>
    <w:rsid w:val="00C2728D"/>
    <w:rsid w:val="00C27397"/>
    <w:rsid w:val="00C2746D"/>
    <w:rsid w:val="00C2799C"/>
    <w:rsid w:val="00C279F3"/>
    <w:rsid w:val="00C27B69"/>
    <w:rsid w:val="00C27BA8"/>
    <w:rsid w:val="00C3000A"/>
    <w:rsid w:val="00C3005E"/>
    <w:rsid w:val="00C3052A"/>
    <w:rsid w:val="00C307F6"/>
    <w:rsid w:val="00C30970"/>
    <w:rsid w:val="00C3127B"/>
    <w:rsid w:val="00C314B6"/>
    <w:rsid w:val="00C31554"/>
    <w:rsid w:val="00C31845"/>
    <w:rsid w:val="00C319C6"/>
    <w:rsid w:val="00C31A35"/>
    <w:rsid w:val="00C31CD4"/>
    <w:rsid w:val="00C3253A"/>
    <w:rsid w:val="00C3253B"/>
    <w:rsid w:val="00C3269F"/>
    <w:rsid w:val="00C32D8B"/>
    <w:rsid w:val="00C32E07"/>
    <w:rsid w:val="00C336E6"/>
    <w:rsid w:val="00C337C4"/>
    <w:rsid w:val="00C339FF"/>
    <w:rsid w:val="00C33ADF"/>
    <w:rsid w:val="00C33C03"/>
    <w:rsid w:val="00C33D15"/>
    <w:rsid w:val="00C34576"/>
    <w:rsid w:val="00C348DC"/>
    <w:rsid w:val="00C349EA"/>
    <w:rsid w:val="00C34EF4"/>
    <w:rsid w:val="00C352B5"/>
    <w:rsid w:val="00C355D6"/>
    <w:rsid w:val="00C3572A"/>
    <w:rsid w:val="00C3595D"/>
    <w:rsid w:val="00C35AB9"/>
    <w:rsid w:val="00C35B80"/>
    <w:rsid w:val="00C360F4"/>
    <w:rsid w:val="00C361EA"/>
    <w:rsid w:val="00C3698A"/>
    <w:rsid w:val="00C370CF"/>
    <w:rsid w:val="00C37900"/>
    <w:rsid w:val="00C37A0E"/>
    <w:rsid w:val="00C37B5E"/>
    <w:rsid w:val="00C37CED"/>
    <w:rsid w:val="00C4044F"/>
    <w:rsid w:val="00C40BCD"/>
    <w:rsid w:val="00C41448"/>
    <w:rsid w:val="00C4163D"/>
    <w:rsid w:val="00C42047"/>
    <w:rsid w:val="00C428FF"/>
    <w:rsid w:val="00C42DA2"/>
    <w:rsid w:val="00C435C5"/>
    <w:rsid w:val="00C43A70"/>
    <w:rsid w:val="00C4404D"/>
    <w:rsid w:val="00C4425B"/>
    <w:rsid w:val="00C447D4"/>
    <w:rsid w:val="00C44A63"/>
    <w:rsid w:val="00C44AB7"/>
    <w:rsid w:val="00C45000"/>
    <w:rsid w:val="00C454BC"/>
    <w:rsid w:val="00C4578F"/>
    <w:rsid w:val="00C462DD"/>
    <w:rsid w:val="00C467ED"/>
    <w:rsid w:val="00C47150"/>
    <w:rsid w:val="00C476B3"/>
    <w:rsid w:val="00C47770"/>
    <w:rsid w:val="00C47D4A"/>
    <w:rsid w:val="00C47F35"/>
    <w:rsid w:val="00C50B33"/>
    <w:rsid w:val="00C512EA"/>
    <w:rsid w:val="00C517D3"/>
    <w:rsid w:val="00C518B8"/>
    <w:rsid w:val="00C521B7"/>
    <w:rsid w:val="00C521EB"/>
    <w:rsid w:val="00C52247"/>
    <w:rsid w:val="00C52651"/>
    <w:rsid w:val="00C52985"/>
    <w:rsid w:val="00C52A23"/>
    <w:rsid w:val="00C52B52"/>
    <w:rsid w:val="00C53400"/>
    <w:rsid w:val="00C53446"/>
    <w:rsid w:val="00C53481"/>
    <w:rsid w:val="00C53AD3"/>
    <w:rsid w:val="00C53FEF"/>
    <w:rsid w:val="00C54318"/>
    <w:rsid w:val="00C54350"/>
    <w:rsid w:val="00C543F0"/>
    <w:rsid w:val="00C54887"/>
    <w:rsid w:val="00C54B47"/>
    <w:rsid w:val="00C54C3F"/>
    <w:rsid w:val="00C54F34"/>
    <w:rsid w:val="00C55B35"/>
    <w:rsid w:val="00C55F43"/>
    <w:rsid w:val="00C55F56"/>
    <w:rsid w:val="00C55FE1"/>
    <w:rsid w:val="00C56391"/>
    <w:rsid w:val="00C56AD5"/>
    <w:rsid w:val="00C56BC2"/>
    <w:rsid w:val="00C571D9"/>
    <w:rsid w:val="00C5724D"/>
    <w:rsid w:val="00C5727C"/>
    <w:rsid w:val="00C5729A"/>
    <w:rsid w:val="00C57939"/>
    <w:rsid w:val="00C57D45"/>
    <w:rsid w:val="00C57D97"/>
    <w:rsid w:val="00C60378"/>
    <w:rsid w:val="00C607ED"/>
    <w:rsid w:val="00C609E7"/>
    <w:rsid w:val="00C60B5B"/>
    <w:rsid w:val="00C60E81"/>
    <w:rsid w:val="00C610F5"/>
    <w:rsid w:val="00C6149F"/>
    <w:rsid w:val="00C61A95"/>
    <w:rsid w:val="00C6253A"/>
    <w:rsid w:val="00C627E2"/>
    <w:rsid w:val="00C62F02"/>
    <w:rsid w:val="00C63399"/>
    <w:rsid w:val="00C6415A"/>
    <w:rsid w:val="00C644C1"/>
    <w:rsid w:val="00C64AC3"/>
    <w:rsid w:val="00C64F6C"/>
    <w:rsid w:val="00C6563D"/>
    <w:rsid w:val="00C65934"/>
    <w:rsid w:val="00C66F10"/>
    <w:rsid w:val="00C67783"/>
    <w:rsid w:val="00C678C1"/>
    <w:rsid w:val="00C679E6"/>
    <w:rsid w:val="00C701B6"/>
    <w:rsid w:val="00C702EB"/>
    <w:rsid w:val="00C7043D"/>
    <w:rsid w:val="00C70599"/>
    <w:rsid w:val="00C70670"/>
    <w:rsid w:val="00C70737"/>
    <w:rsid w:val="00C707D4"/>
    <w:rsid w:val="00C70A4E"/>
    <w:rsid w:val="00C70A5A"/>
    <w:rsid w:val="00C70B73"/>
    <w:rsid w:val="00C71176"/>
    <w:rsid w:val="00C71ED8"/>
    <w:rsid w:val="00C7261D"/>
    <w:rsid w:val="00C7270D"/>
    <w:rsid w:val="00C7272D"/>
    <w:rsid w:val="00C72751"/>
    <w:rsid w:val="00C72808"/>
    <w:rsid w:val="00C72880"/>
    <w:rsid w:val="00C729CC"/>
    <w:rsid w:val="00C72D59"/>
    <w:rsid w:val="00C73114"/>
    <w:rsid w:val="00C7311B"/>
    <w:rsid w:val="00C736B8"/>
    <w:rsid w:val="00C73C09"/>
    <w:rsid w:val="00C7420E"/>
    <w:rsid w:val="00C74253"/>
    <w:rsid w:val="00C742B2"/>
    <w:rsid w:val="00C7432B"/>
    <w:rsid w:val="00C75077"/>
    <w:rsid w:val="00C75DC5"/>
    <w:rsid w:val="00C761C5"/>
    <w:rsid w:val="00C767FA"/>
    <w:rsid w:val="00C76A71"/>
    <w:rsid w:val="00C76C1C"/>
    <w:rsid w:val="00C77827"/>
    <w:rsid w:val="00C77E43"/>
    <w:rsid w:val="00C77E69"/>
    <w:rsid w:val="00C8034E"/>
    <w:rsid w:val="00C8069E"/>
    <w:rsid w:val="00C812CC"/>
    <w:rsid w:val="00C815C1"/>
    <w:rsid w:val="00C819EB"/>
    <w:rsid w:val="00C81B2B"/>
    <w:rsid w:val="00C81C25"/>
    <w:rsid w:val="00C81D3A"/>
    <w:rsid w:val="00C82059"/>
    <w:rsid w:val="00C82487"/>
    <w:rsid w:val="00C825E1"/>
    <w:rsid w:val="00C827FC"/>
    <w:rsid w:val="00C8327C"/>
    <w:rsid w:val="00C832A5"/>
    <w:rsid w:val="00C83AB2"/>
    <w:rsid w:val="00C83F0C"/>
    <w:rsid w:val="00C8429A"/>
    <w:rsid w:val="00C8440C"/>
    <w:rsid w:val="00C84823"/>
    <w:rsid w:val="00C8484C"/>
    <w:rsid w:val="00C84880"/>
    <w:rsid w:val="00C85777"/>
    <w:rsid w:val="00C85C66"/>
    <w:rsid w:val="00C86593"/>
    <w:rsid w:val="00C86900"/>
    <w:rsid w:val="00C869E0"/>
    <w:rsid w:val="00C87105"/>
    <w:rsid w:val="00C8741B"/>
    <w:rsid w:val="00C902F7"/>
    <w:rsid w:val="00C90509"/>
    <w:rsid w:val="00C90695"/>
    <w:rsid w:val="00C90A78"/>
    <w:rsid w:val="00C90B73"/>
    <w:rsid w:val="00C90E0C"/>
    <w:rsid w:val="00C90F55"/>
    <w:rsid w:val="00C91088"/>
    <w:rsid w:val="00C91171"/>
    <w:rsid w:val="00C912EE"/>
    <w:rsid w:val="00C9221D"/>
    <w:rsid w:val="00C928B3"/>
    <w:rsid w:val="00C92AD4"/>
    <w:rsid w:val="00C92D1D"/>
    <w:rsid w:val="00C92F05"/>
    <w:rsid w:val="00C935C7"/>
    <w:rsid w:val="00C938E8"/>
    <w:rsid w:val="00C93AD2"/>
    <w:rsid w:val="00C93F1D"/>
    <w:rsid w:val="00C94226"/>
    <w:rsid w:val="00C94B1F"/>
    <w:rsid w:val="00C94DB3"/>
    <w:rsid w:val="00C951ED"/>
    <w:rsid w:val="00C954EA"/>
    <w:rsid w:val="00C96167"/>
    <w:rsid w:val="00C96B82"/>
    <w:rsid w:val="00C96C55"/>
    <w:rsid w:val="00C96F85"/>
    <w:rsid w:val="00C97BA5"/>
    <w:rsid w:val="00C97CCD"/>
    <w:rsid w:val="00CA0070"/>
    <w:rsid w:val="00CA0421"/>
    <w:rsid w:val="00CA04CB"/>
    <w:rsid w:val="00CA06FA"/>
    <w:rsid w:val="00CA070E"/>
    <w:rsid w:val="00CA0FD5"/>
    <w:rsid w:val="00CA11E5"/>
    <w:rsid w:val="00CA1C32"/>
    <w:rsid w:val="00CA1D0B"/>
    <w:rsid w:val="00CA24BF"/>
    <w:rsid w:val="00CA3332"/>
    <w:rsid w:val="00CA377A"/>
    <w:rsid w:val="00CA38AE"/>
    <w:rsid w:val="00CA3F3D"/>
    <w:rsid w:val="00CA3F42"/>
    <w:rsid w:val="00CA4AF6"/>
    <w:rsid w:val="00CA53B0"/>
    <w:rsid w:val="00CA6086"/>
    <w:rsid w:val="00CA62A8"/>
    <w:rsid w:val="00CA6DA6"/>
    <w:rsid w:val="00CA744A"/>
    <w:rsid w:val="00CA7918"/>
    <w:rsid w:val="00CA7A49"/>
    <w:rsid w:val="00CA7AD4"/>
    <w:rsid w:val="00CA7BE5"/>
    <w:rsid w:val="00CB00F3"/>
    <w:rsid w:val="00CB038B"/>
    <w:rsid w:val="00CB0468"/>
    <w:rsid w:val="00CB0EA2"/>
    <w:rsid w:val="00CB1498"/>
    <w:rsid w:val="00CB168A"/>
    <w:rsid w:val="00CB1F2C"/>
    <w:rsid w:val="00CB20C7"/>
    <w:rsid w:val="00CB218D"/>
    <w:rsid w:val="00CB305B"/>
    <w:rsid w:val="00CB31A4"/>
    <w:rsid w:val="00CB3DBB"/>
    <w:rsid w:val="00CB4946"/>
    <w:rsid w:val="00CB4AA2"/>
    <w:rsid w:val="00CB4CE4"/>
    <w:rsid w:val="00CB57D5"/>
    <w:rsid w:val="00CB5C57"/>
    <w:rsid w:val="00CB6545"/>
    <w:rsid w:val="00CB6780"/>
    <w:rsid w:val="00CB6DFA"/>
    <w:rsid w:val="00CB73AD"/>
    <w:rsid w:val="00CB78A8"/>
    <w:rsid w:val="00CB7F42"/>
    <w:rsid w:val="00CC00E7"/>
    <w:rsid w:val="00CC0623"/>
    <w:rsid w:val="00CC0E4F"/>
    <w:rsid w:val="00CC150C"/>
    <w:rsid w:val="00CC1822"/>
    <w:rsid w:val="00CC1844"/>
    <w:rsid w:val="00CC1DBB"/>
    <w:rsid w:val="00CC20ED"/>
    <w:rsid w:val="00CC210E"/>
    <w:rsid w:val="00CC2550"/>
    <w:rsid w:val="00CC269F"/>
    <w:rsid w:val="00CC28A9"/>
    <w:rsid w:val="00CC31CE"/>
    <w:rsid w:val="00CC3278"/>
    <w:rsid w:val="00CC3A85"/>
    <w:rsid w:val="00CC3DB8"/>
    <w:rsid w:val="00CC3FEA"/>
    <w:rsid w:val="00CC497B"/>
    <w:rsid w:val="00CC4B73"/>
    <w:rsid w:val="00CC4B7E"/>
    <w:rsid w:val="00CC4EDE"/>
    <w:rsid w:val="00CC51A6"/>
    <w:rsid w:val="00CC51B9"/>
    <w:rsid w:val="00CC5DF1"/>
    <w:rsid w:val="00CC6104"/>
    <w:rsid w:val="00CC64DD"/>
    <w:rsid w:val="00CC6A35"/>
    <w:rsid w:val="00CC6E43"/>
    <w:rsid w:val="00CC7621"/>
    <w:rsid w:val="00CC7861"/>
    <w:rsid w:val="00CD0C12"/>
    <w:rsid w:val="00CD134D"/>
    <w:rsid w:val="00CD1655"/>
    <w:rsid w:val="00CD1AC3"/>
    <w:rsid w:val="00CD20B2"/>
    <w:rsid w:val="00CD20F1"/>
    <w:rsid w:val="00CD2293"/>
    <w:rsid w:val="00CD2672"/>
    <w:rsid w:val="00CD2864"/>
    <w:rsid w:val="00CD2907"/>
    <w:rsid w:val="00CD2B45"/>
    <w:rsid w:val="00CD2DC5"/>
    <w:rsid w:val="00CD2FF9"/>
    <w:rsid w:val="00CD32E3"/>
    <w:rsid w:val="00CD3899"/>
    <w:rsid w:val="00CD3B20"/>
    <w:rsid w:val="00CD4008"/>
    <w:rsid w:val="00CD42BB"/>
    <w:rsid w:val="00CD487C"/>
    <w:rsid w:val="00CD4CD6"/>
    <w:rsid w:val="00CD50A3"/>
    <w:rsid w:val="00CD533A"/>
    <w:rsid w:val="00CD5864"/>
    <w:rsid w:val="00CD6084"/>
    <w:rsid w:val="00CD6A83"/>
    <w:rsid w:val="00CD6A9E"/>
    <w:rsid w:val="00CD6D21"/>
    <w:rsid w:val="00CD6FBE"/>
    <w:rsid w:val="00CD726D"/>
    <w:rsid w:val="00CD79AE"/>
    <w:rsid w:val="00CD7E21"/>
    <w:rsid w:val="00CD7E5A"/>
    <w:rsid w:val="00CE00AD"/>
    <w:rsid w:val="00CE0480"/>
    <w:rsid w:val="00CE0648"/>
    <w:rsid w:val="00CE079C"/>
    <w:rsid w:val="00CE0A66"/>
    <w:rsid w:val="00CE0ADC"/>
    <w:rsid w:val="00CE0DC7"/>
    <w:rsid w:val="00CE111C"/>
    <w:rsid w:val="00CE15B5"/>
    <w:rsid w:val="00CE15D0"/>
    <w:rsid w:val="00CE1680"/>
    <w:rsid w:val="00CE183E"/>
    <w:rsid w:val="00CE24F2"/>
    <w:rsid w:val="00CE28CF"/>
    <w:rsid w:val="00CE2C1D"/>
    <w:rsid w:val="00CE301C"/>
    <w:rsid w:val="00CE361F"/>
    <w:rsid w:val="00CE3E9D"/>
    <w:rsid w:val="00CE420B"/>
    <w:rsid w:val="00CE5510"/>
    <w:rsid w:val="00CE5A1B"/>
    <w:rsid w:val="00CE5A9E"/>
    <w:rsid w:val="00CE5AA0"/>
    <w:rsid w:val="00CE5C3B"/>
    <w:rsid w:val="00CE606C"/>
    <w:rsid w:val="00CE6144"/>
    <w:rsid w:val="00CE698E"/>
    <w:rsid w:val="00CE6AA6"/>
    <w:rsid w:val="00CE6B3E"/>
    <w:rsid w:val="00CE6B80"/>
    <w:rsid w:val="00CE6CD0"/>
    <w:rsid w:val="00CE760C"/>
    <w:rsid w:val="00CE773B"/>
    <w:rsid w:val="00CE7BA3"/>
    <w:rsid w:val="00CE7C08"/>
    <w:rsid w:val="00CF0053"/>
    <w:rsid w:val="00CF01AD"/>
    <w:rsid w:val="00CF03D1"/>
    <w:rsid w:val="00CF0569"/>
    <w:rsid w:val="00CF104A"/>
    <w:rsid w:val="00CF1209"/>
    <w:rsid w:val="00CF12A8"/>
    <w:rsid w:val="00CF12DA"/>
    <w:rsid w:val="00CF17CA"/>
    <w:rsid w:val="00CF1E45"/>
    <w:rsid w:val="00CF26E7"/>
    <w:rsid w:val="00CF27F8"/>
    <w:rsid w:val="00CF2E43"/>
    <w:rsid w:val="00CF2FF2"/>
    <w:rsid w:val="00CF33AD"/>
    <w:rsid w:val="00CF3481"/>
    <w:rsid w:val="00CF37D0"/>
    <w:rsid w:val="00CF3D93"/>
    <w:rsid w:val="00CF3E7C"/>
    <w:rsid w:val="00CF4520"/>
    <w:rsid w:val="00CF4746"/>
    <w:rsid w:val="00CF48E6"/>
    <w:rsid w:val="00CF4C32"/>
    <w:rsid w:val="00CF4F1C"/>
    <w:rsid w:val="00CF52F0"/>
    <w:rsid w:val="00CF5567"/>
    <w:rsid w:val="00CF5595"/>
    <w:rsid w:val="00CF5DD9"/>
    <w:rsid w:val="00CF686A"/>
    <w:rsid w:val="00CF73D9"/>
    <w:rsid w:val="00CF78D7"/>
    <w:rsid w:val="00D005BC"/>
    <w:rsid w:val="00D00721"/>
    <w:rsid w:val="00D008DA"/>
    <w:rsid w:val="00D00C94"/>
    <w:rsid w:val="00D01072"/>
    <w:rsid w:val="00D01352"/>
    <w:rsid w:val="00D01981"/>
    <w:rsid w:val="00D019BA"/>
    <w:rsid w:val="00D0295B"/>
    <w:rsid w:val="00D0295C"/>
    <w:rsid w:val="00D02A95"/>
    <w:rsid w:val="00D02BED"/>
    <w:rsid w:val="00D03455"/>
    <w:rsid w:val="00D0396A"/>
    <w:rsid w:val="00D03A3F"/>
    <w:rsid w:val="00D03A46"/>
    <w:rsid w:val="00D03A69"/>
    <w:rsid w:val="00D03B97"/>
    <w:rsid w:val="00D03E20"/>
    <w:rsid w:val="00D0414C"/>
    <w:rsid w:val="00D04566"/>
    <w:rsid w:val="00D04B19"/>
    <w:rsid w:val="00D05062"/>
    <w:rsid w:val="00D050CD"/>
    <w:rsid w:val="00D05783"/>
    <w:rsid w:val="00D05D3E"/>
    <w:rsid w:val="00D06B05"/>
    <w:rsid w:val="00D06EA4"/>
    <w:rsid w:val="00D0727F"/>
    <w:rsid w:val="00D0770B"/>
    <w:rsid w:val="00D0773D"/>
    <w:rsid w:val="00D0782A"/>
    <w:rsid w:val="00D07902"/>
    <w:rsid w:val="00D07C6C"/>
    <w:rsid w:val="00D104D3"/>
    <w:rsid w:val="00D10733"/>
    <w:rsid w:val="00D108C0"/>
    <w:rsid w:val="00D10EAB"/>
    <w:rsid w:val="00D10F99"/>
    <w:rsid w:val="00D11199"/>
    <w:rsid w:val="00D115A8"/>
    <w:rsid w:val="00D115B0"/>
    <w:rsid w:val="00D123C3"/>
    <w:rsid w:val="00D127F2"/>
    <w:rsid w:val="00D129A0"/>
    <w:rsid w:val="00D129C2"/>
    <w:rsid w:val="00D12A30"/>
    <w:rsid w:val="00D12D34"/>
    <w:rsid w:val="00D13762"/>
    <w:rsid w:val="00D13A1F"/>
    <w:rsid w:val="00D13B10"/>
    <w:rsid w:val="00D13C0E"/>
    <w:rsid w:val="00D140A6"/>
    <w:rsid w:val="00D145B4"/>
    <w:rsid w:val="00D147FA"/>
    <w:rsid w:val="00D1484E"/>
    <w:rsid w:val="00D14F1C"/>
    <w:rsid w:val="00D15333"/>
    <w:rsid w:val="00D15444"/>
    <w:rsid w:val="00D154FB"/>
    <w:rsid w:val="00D159AC"/>
    <w:rsid w:val="00D165A1"/>
    <w:rsid w:val="00D16E0A"/>
    <w:rsid w:val="00D2002B"/>
    <w:rsid w:val="00D20297"/>
    <w:rsid w:val="00D2066D"/>
    <w:rsid w:val="00D20BAB"/>
    <w:rsid w:val="00D20BD9"/>
    <w:rsid w:val="00D20C61"/>
    <w:rsid w:val="00D20D94"/>
    <w:rsid w:val="00D210D0"/>
    <w:rsid w:val="00D21719"/>
    <w:rsid w:val="00D21C3C"/>
    <w:rsid w:val="00D21DF1"/>
    <w:rsid w:val="00D21E7B"/>
    <w:rsid w:val="00D21F67"/>
    <w:rsid w:val="00D22120"/>
    <w:rsid w:val="00D22674"/>
    <w:rsid w:val="00D22885"/>
    <w:rsid w:val="00D22E21"/>
    <w:rsid w:val="00D22F0B"/>
    <w:rsid w:val="00D23087"/>
    <w:rsid w:val="00D2333B"/>
    <w:rsid w:val="00D23525"/>
    <w:rsid w:val="00D2369B"/>
    <w:rsid w:val="00D236C4"/>
    <w:rsid w:val="00D24474"/>
    <w:rsid w:val="00D24505"/>
    <w:rsid w:val="00D24C29"/>
    <w:rsid w:val="00D24D4A"/>
    <w:rsid w:val="00D24F07"/>
    <w:rsid w:val="00D25025"/>
    <w:rsid w:val="00D26315"/>
    <w:rsid w:val="00D2685F"/>
    <w:rsid w:val="00D26965"/>
    <w:rsid w:val="00D26B2D"/>
    <w:rsid w:val="00D26B73"/>
    <w:rsid w:val="00D27298"/>
    <w:rsid w:val="00D27786"/>
    <w:rsid w:val="00D278EC"/>
    <w:rsid w:val="00D2790D"/>
    <w:rsid w:val="00D3060E"/>
    <w:rsid w:val="00D30FC3"/>
    <w:rsid w:val="00D3101F"/>
    <w:rsid w:val="00D318CF"/>
    <w:rsid w:val="00D31999"/>
    <w:rsid w:val="00D31A09"/>
    <w:rsid w:val="00D31B98"/>
    <w:rsid w:val="00D31F24"/>
    <w:rsid w:val="00D32820"/>
    <w:rsid w:val="00D328F9"/>
    <w:rsid w:val="00D32E4A"/>
    <w:rsid w:val="00D33080"/>
    <w:rsid w:val="00D330D8"/>
    <w:rsid w:val="00D33636"/>
    <w:rsid w:val="00D33770"/>
    <w:rsid w:val="00D339D2"/>
    <w:rsid w:val="00D34AB8"/>
    <w:rsid w:val="00D34CC1"/>
    <w:rsid w:val="00D34F47"/>
    <w:rsid w:val="00D35789"/>
    <w:rsid w:val="00D3646D"/>
    <w:rsid w:val="00D37594"/>
    <w:rsid w:val="00D3784A"/>
    <w:rsid w:val="00D37AB4"/>
    <w:rsid w:val="00D37B27"/>
    <w:rsid w:val="00D37D49"/>
    <w:rsid w:val="00D4092E"/>
    <w:rsid w:val="00D40ECA"/>
    <w:rsid w:val="00D40F64"/>
    <w:rsid w:val="00D416F4"/>
    <w:rsid w:val="00D4179A"/>
    <w:rsid w:val="00D41DF1"/>
    <w:rsid w:val="00D41E62"/>
    <w:rsid w:val="00D41FEA"/>
    <w:rsid w:val="00D42694"/>
    <w:rsid w:val="00D429C1"/>
    <w:rsid w:val="00D42A4C"/>
    <w:rsid w:val="00D42BAC"/>
    <w:rsid w:val="00D43639"/>
    <w:rsid w:val="00D43B85"/>
    <w:rsid w:val="00D43C29"/>
    <w:rsid w:val="00D43D21"/>
    <w:rsid w:val="00D43E29"/>
    <w:rsid w:val="00D43E57"/>
    <w:rsid w:val="00D43EB9"/>
    <w:rsid w:val="00D44214"/>
    <w:rsid w:val="00D44389"/>
    <w:rsid w:val="00D44561"/>
    <w:rsid w:val="00D44A6F"/>
    <w:rsid w:val="00D44B27"/>
    <w:rsid w:val="00D44EF4"/>
    <w:rsid w:val="00D459DD"/>
    <w:rsid w:val="00D45A95"/>
    <w:rsid w:val="00D45AF0"/>
    <w:rsid w:val="00D45EB0"/>
    <w:rsid w:val="00D4612E"/>
    <w:rsid w:val="00D461ED"/>
    <w:rsid w:val="00D4620F"/>
    <w:rsid w:val="00D46303"/>
    <w:rsid w:val="00D466EC"/>
    <w:rsid w:val="00D46A31"/>
    <w:rsid w:val="00D4708E"/>
    <w:rsid w:val="00D47518"/>
    <w:rsid w:val="00D47700"/>
    <w:rsid w:val="00D4795C"/>
    <w:rsid w:val="00D47BE1"/>
    <w:rsid w:val="00D47D87"/>
    <w:rsid w:val="00D50061"/>
    <w:rsid w:val="00D5047A"/>
    <w:rsid w:val="00D504DF"/>
    <w:rsid w:val="00D50867"/>
    <w:rsid w:val="00D50A22"/>
    <w:rsid w:val="00D50B54"/>
    <w:rsid w:val="00D50C5D"/>
    <w:rsid w:val="00D50DFD"/>
    <w:rsid w:val="00D51151"/>
    <w:rsid w:val="00D513B3"/>
    <w:rsid w:val="00D5169C"/>
    <w:rsid w:val="00D517FB"/>
    <w:rsid w:val="00D51C0D"/>
    <w:rsid w:val="00D51F55"/>
    <w:rsid w:val="00D520ED"/>
    <w:rsid w:val="00D52D2D"/>
    <w:rsid w:val="00D533B6"/>
    <w:rsid w:val="00D53B6C"/>
    <w:rsid w:val="00D53DC9"/>
    <w:rsid w:val="00D540C8"/>
    <w:rsid w:val="00D543EB"/>
    <w:rsid w:val="00D54AC9"/>
    <w:rsid w:val="00D54CDE"/>
    <w:rsid w:val="00D54ECF"/>
    <w:rsid w:val="00D55029"/>
    <w:rsid w:val="00D5508C"/>
    <w:rsid w:val="00D554C5"/>
    <w:rsid w:val="00D558BA"/>
    <w:rsid w:val="00D55F72"/>
    <w:rsid w:val="00D569BE"/>
    <w:rsid w:val="00D56D2C"/>
    <w:rsid w:val="00D56E47"/>
    <w:rsid w:val="00D56F17"/>
    <w:rsid w:val="00D5764E"/>
    <w:rsid w:val="00D57BA6"/>
    <w:rsid w:val="00D57D9D"/>
    <w:rsid w:val="00D57E0E"/>
    <w:rsid w:val="00D603D0"/>
    <w:rsid w:val="00D60874"/>
    <w:rsid w:val="00D6107B"/>
    <w:rsid w:val="00D6150F"/>
    <w:rsid w:val="00D62A94"/>
    <w:rsid w:val="00D62E63"/>
    <w:rsid w:val="00D63133"/>
    <w:rsid w:val="00D63338"/>
    <w:rsid w:val="00D633FF"/>
    <w:rsid w:val="00D63737"/>
    <w:rsid w:val="00D63A03"/>
    <w:rsid w:val="00D6453D"/>
    <w:rsid w:val="00D6487E"/>
    <w:rsid w:val="00D64D7A"/>
    <w:rsid w:val="00D64DDA"/>
    <w:rsid w:val="00D65017"/>
    <w:rsid w:val="00D656CD"/>
    <w:rsid w:val="00D656F3"/>
    <w:rsid w:val="00D65A78"/>
    <w:rsid w:val="00D65C0A"/>
    <w:rsid w:val="00D66029"/>
    <w:rsid w:val="00D6612D"/>
    <w:rsid w:val="00D66304"/>
    <w:rsid w:val="00D664E7"/>
    <w:rsid w:val="00D66725"/>
    <w:rsid w:val="00D667F5"/>
    <w:rsid w:val="00D66C50"/>
    <w:rsid w:val="00D67040"/>
    <w:rsid w:val="00D670CB"/>
    <w:rsid w:val="00D70EAE"/>
    <w:rsid w:val="00D710BF"/>
    <w:rsid w:val="00D71371"/>
    <w:rsid w:val="00D717C9"/>
    <w:rsid w:val="00D717D2"/>
    <w:rsid w:val="00D71908"/>
    <w:rsid w:val="00D71BEF"/>
    <w:rsid w:val="00D7246E"/>
    <w:rsid w:val="00D7304B"/>
    <w:rsid w:val="00D7340A"/>
    <w:rsid w:val="00D73ACE"/>
    <w:rsid w:val="00D742B3"/>
    <w:rsid w:val="00D7437D"/>
    <w:rsid w:val="00D743AA"/>
    <w:rsid w:val="00D743D3"/>
    <w:rsid w:val="00D74448"/>
    <w:rsid w:val="00D746C1"/>
    <w:rsid w:val="00D747CA"/>
    <w:rsid w:val="00D749C9"/>
    <w:rsid w:val="00D7569A"/>
    <w:rsid w:val="00D75AD7"/>
    <w:rsid w:val="00D7614D"/>
    <w:rsid w:val="00D76210"/>
    <w:rsid w:val="00D766ED"/>
    <w:rsid w:val="00D76774"/>
    <w:rsid w:val="00D76807"/>
    <w:rsid w:val="00D7682B"/>
    <w:rsid w:val="00D769AF"/>
    <w:rsid w:val="00D76A7D"/>
    <w:rsid w:val="00D76AAC"/>
    <w:rsid w:val="00D76DF1"/>
    <w:rsid w:val="00D76F79"/>
    <w:rsid w:val="00D776EE"/>
    <w:rsid w:val="00D77BFA"/>
    <w:rsid w:val="00D77E31"/>
    <w:rsid w:val="00D77ED3"/>
    <w:rsid w:val="00D804DC"/>
    <w:rsid w:val="00D80D92"/>
    <w:rsid w:val="00D80DF5"/>
    <w:rsid w:val="00D814B7"/>
    <w:rsid w:val="00D81699"/>
    <w:rsid w:val="00D81A51"/>
    <w:rsid w:val="00D81E97"/>
    <w:rsid w:val="00D82741"/>
    <w:rsid w:val="00D82B64"/>
    <w:rsid w:val="00D82C9E"/>
    <w:rsid w:val="00D82D52"/>
    <w:rsid w:val="00D83083"/>
    <w:rsid w:val="00D83526"/>
    <w:rsid w:val="00D83668"/>
    <w:rsid w:val="00D83945"/>
    <w:rsid w:val="00D840FE"/>
    <w:rsid w:val="00D847C1"/>
    <w:rsid w:val="00D84CC4"/>
    <w:rsid w:val="00D84DCF"/>
    <w:rsid w:val="00D84F00"/>
    <w:rsid w:val="00D852A2"/>
    <w:rsid w:val="00D856A2"/>
    <w:rsid w:val="00D85727"/>
    <w:rsid w:val="00D85741"/>
    <w:rsid w:val="00D85E69"/>
    <w:rsid w:val="00D85E96"/>
    <w:rsid w:val="00D85FB0"/>
    <w:rsid w:val="00D86975"/>
    <w:rsid w:val="00D86B33"/>
    <w:rsid w:val="00D86B43"/>
    <w:rsid w:val="00D86F8C"/>
    <w:rsid w:val="00D86FD1"/>
    <w:rsid w:val="00D874CF"/>
    <w:rsid w:val="00D87D98"/>
    <w:rsid w:val="00D9031D"/>
    <w:rsid w:val="00D907C3"/>
    <w:rsid w:val="00D90869"/>
    <w:rsid w:val="00D90983"/>
    <w:rsid w:val="00D90AC1"/>
    <w:rsid w:val="00D90F94"/>
    <w:rsid w:val="00D91206"/>
    <w:rsid w:val="00D918A6"/>
    <w:rsid w:val="00D91920"/>
    <w:rsid w:val="00D91B7A"/>
    <w:rsid w:val="00D91F21"/>
    <w:rsid w:val="00D91F7F"/>
    <w:rsid w:val="00D9288C"/>
    <w:rsid w:val="00D9291E"/>
    <w:rsid w:val="00D939FE"/>
    <w:rsid w:val="00D93FA4"/>
    <w:rsid w:val="00D941D8"/>
    <w:rsid w:val="00D94239"/>
    <w:rsid w:val="00D94513"/>
    <w:rsid w:val="00D94563"/>
    <w:rsid w:val="00D9486F"/>
    <w:rsid w:val="00D94953"/>
    <w:rsid w:val="00D94DB6"/>
    <w:rsid w:val="00D94F99"/>
    <w:rsid w:val="00D95092"/>
    <w:rsid w:val="00D953E2"/>
    <w:rsid w:val="00D954C3"/>
    <w:rsid w:val="00D95551"/>
    <w:rsid w:val="00D955EE"/>
    <w:rsid w:val="00D9599D"/>
    <w:rsid w:val="00D95B87"/>
    <w:rsid w:val="00D95E7A"/>
    <w:rsid w:val="00D9662C"/>
    <w:rsid w:val="00D96945"/>
    <w:rsid w:val="00D96994"/>
    <w:rsid w:val="00D96C16"/>
    <w:rsid w:val="00D9700E"/>
    <w:rsid w:val="00D975DB"/>
    <w:rsid w:val="00D9762E"/>
    <w:rsid w:val="00D97863"/>
    <w:rsid w:val="00DA085F"/>
    <w:rsid w:val="00DA0AF6"/>
    <w:rsid w:val="00DA10E3"/>
    <w:rsid w:val="00DA1389"/>
    <w:rsid w:val="00DA13B4"/>
    <w:rsid w:val="00DA1703"/>
    <w:rsid w:val="00DA1771"/>
    <w:rsid w:val="00DA1933"/>
    <w:rsid w:val="00DA1A12"/>
    <w:rsid w:val="00DA1C32"/>
    <w:rsid w:val="00DA2DC1"/>
    <w:rsid w:val="00DA3023"/>
    <w:rsid w:val="00DA3F7F"/>
    <w:rsid w:val="00DA3FA6"/>
    <w:rsid w:val="00DA42C6"/>
    <w:rsid w:val="00DA43A8"/>
    <w:rsid w:val="00DA45BC"/>
    <w:rsid w:val="00DA462C"/>
    <w:rsid w:val="00DA4726"/>
    <w:rsid w:val="00DA4E10"/>
    <w:rsid w:val="00DA4F7E"/>
    <w:rsid w:val="00DA5582"/>
    <w:rsid w:val="00DA5E3A"/>
    <w:rsid w:val="00DA5F60"/>
    <w:rsid w:val="00DA5FEC"/>
    <w:rsid w:val="00DA602D"/>
    <w:rsid w:val="00DA6E26"/>
    <w:rsid w:val="00DA7196"/>
    <w:rsid w:val="00DA71CC"/>
    <w:rsid w:val="00DA7714"/>
    <w:rsid w:val="00DA7C7B"/>
    <w:rsid w:val="00DA7DAC"/>
    <w:rsid w:val="00DB0015"/>
    <w:rsid w:val="00DB07E9"/>
    <w:rsid w:val="00DB0A9D"/>
    <w:rsid w:val="00DB0EC7"/>
    <w:rsid w:val="00DB16EB"/>
    <w:rsid w:val="00DB1AE8"/>
    <w:rsid w:val="00DB1B09"/>
    <w:rsid w:val="00DB21B6"/>
    <w:rsid w:val="00DB2639"/>
    <w:rsid w:val="00DB26B6"/>
    <w:rsid w:val="00DB27F8"/>
    <w:rsid w:val="00DB2D68"/>
    <w:rsid w:val="00DB2FD9"/>
    <w:rsid w:val="00DB31D8"/>
    <w:rsid w:val="00DB3302"/>
    <w:rsid w:val="00DB353A"/>
    <w:rsid w:val="00DB3589"/>
    <w:rsid w:val="00DB395E"/>
    <w:rsid w:val="00DB3AE8"/>
    <w:rsid w:val="00DB3F72"/>
    <w:rsid w:val="00DB4194"/>
    <w:rsid w:val="00DB4563"/>
    <w:rsid w:val="00DB469A"/>
    <w:rsid w:val="00DB4AD6"/>
    <w:rsid w:val="00DB4C96"/>
    <w:rsid w:val="00DB4E65"/>
    <w:rsid w:val="00DB5286"/>
    <w:rsid w:val="00DB58FC"/>
    <w:rsid w:val="00DB6D99"/>
    <w:rsid w:val="00DB7454"/>
    <w:rsid w:val="00DB7459"/>
    <w:rsid w:val="00DB765C"/>
    <w:rsid w:val="00DC04B5"/>
    <w:rsid w:val="00DC06A7"/>
    <w:rsid w:val="00DC0EDB"/>
    <w:rsid w:val="00DC1305"/>
    <w:rsid w:val="00DC179F"/>
    <w:rsid w:val="00DC1DD6"/>
    <w:rsid w:val="00DC1F2C"/>
    <w:rsid w:val="00DC2B88"/>
    <w:rsid w:val="00DC2C10"/>
    <w:rsid w:val="00DC36E3"/>
    <w:rsid w:val="00DC3A49"/>
    <w:rsid w:val="00DC451C"/>
    <w:rsid w:val="00DC4A87"/>
    <w:rsid w:val="00DC4BC7"/>
    <w:rsid w:val="00DC5881"/>
    <w:rsid w:val="00DC5BEB"/>
    <w:rsid w:val="00DC5CB8"/>
    <w:rsid w:val="00DC6B19"/>
    <w:rsid w:val="00DC6F43"/>
    <w:rsid w:val="00DC6F72"/>
    <w:rsid w:val="00DC6FB5"/>
    <w:rsid w:val="00DC777A"/>
    <w:rsid w:val="00DC7B69"/>
    <w:rsid w:val="00DC7FE5"/>
    <w:rsid w:val="00DD0300"/>
    <w:rsid w:val="00DD1B77"/>
    <w:rsid w:val="00DD1CAC"/>
    <w:rsid w:val="00DD1CFE"/>
    <w:rsid w:val="00DD1D50"/>
    <w:rsid w:val="00DD201F"/>
    <w:rsid w:val="00DD2140"/>
    <w:rsid w:val="00DD2E81"/>
    <w:rsid w:val="00DD2F1A"/>
    <w:rsid w:val="00DD382A"/>
    <w:rsid w:val="00DD477F"/>
    <w:rsid w:val="00DD4933"/>
    <w:rsid w:val="00DD4942"/>
    <w:rsid w:val="00DD49AE"/>
    <w:rsid w:val="00DD56A4"/>
    <w:rsid w:val="00DD584A"/>
    <w:rsid w:val="00DD5A85"/>
    <w:rsid w:val="00DD619E"/>
    <w:rsid w:val="00DD6D7B"/>
    <w:rsid w:val="00DD6F4B"/>
    <w:rsid w:val="00DD73F4"/>
    <w:rsid w:val="00DD7478"/>
    <w:rsid w:val="00DD75EB"/>
    <w:rsid w:val="00DD7695"/>
    <w:rsid w:val="00DD7739"/>
    <w:rsid w:val="00DD7943"/>
    <w:rsid w:val="00DD7E55"/>
    <w:rsid w:val="00DE0012"/>
    <w:rsid w:val="00DE0062"/>
    <w:rsid w:val="00DE0317"/>
    <w:rsid w:val="00DE0355"/>
    <w:rsid w:val="00DE0F4D"/>
    <w:rsid w:val="00DE1204"/>
    <w:rsid w:val="00DE17D0"/>
    <w:rsid w:val="00DE1C3B"/>
    <w:rsid w:val="00DE1CF4"/>
    <w:rsid w:val="00DE1D9E"/>
    <w:rsid w:val="00DE219D"/>
    <w:rsid w:val="00DE2255"/>
    <w:rsid w:val="00DE257B"/>
    <w:rsid w:val="00DE291D"/>
    <w:rsid w:val="00DE2A87"/>
    <w:rsid w:val="00DE2E33"/>
    <w:rsid w:val="00DE37B8"/>
    <w:rsid w:val="00DE3BF3"/>
    <w:rsid w:val="00DE3DA7"/>
    <w:rsid w:val="00DE45AC"/>
    <w:rsid w:val="00DE492F"/>
    <w:rsid w:val="00DE4EE6"/>
    <w:rsid w:val="00DE51D0"/>
    <w:rsid w:val="00DE5AAB"/>
    <w:rsid w:val="00DE61D4"/>
    <w:rsid w:val="00DE6AFE"/>
    <w:rsid w:val="00DE703A"/>
    <w:rsid w:val="00DE7451"/>
    <w:rsid w:val="00DE7594"/>
    <w:rsid w:val="00DF0715"/>
    <w:rsid w:val="00DF08F6"/>
    <w:rsid w:val="00DF0A92"/>
    <w:rsid w:val="00DF154C"/>
    <w:rsid w:val="00DF192E"/>
    <w:rsid w:val="00DF2133"/>
    <w:rsid w:val="00DF2222"/>
    <w:rsid w:val="00DF2245"/>
    <w:rsid w:val="00DF2348"/>
    <w:rsid w:val="00DF2424"/>
    <w:rsid w:val="00DF27AF"/>
    <w:rsid w:val="00DF295E"/>
    <w:rsid w:val="00DF29A2"/>
    <w:rsid w:val="00DF3393"/>
    <w:rsid w:val="00DF3640"/>
    <w:rsid w:val="00DF36B0"/>
    <w:rsid w:val="00DF3734"/>
    <w:rsid w:val="00DF473F"/>
    <w:rsid w:val="00DF5A3C"/>
    <w:rsid w:val="00DF6430"/>
    <w:rsid w:val="00DF67C1"/>
    <w:rsid w:val="00DF73F2"/>
    <w:rsid w:val="00DF7418"/>
    <w:rsid w:val="00DF79B2"/>
    <w:rsid w:val="00DF7C4B"/>
    <w:rsid w:val="00E000A8"/>
    <w:rsid w:val="00E00177"/>
    <w:rsid w:val="00E0039D"/>
    <w:rsid w:val="00E0048E"/>
    <w:rsid w:val="00E005A1"/>
    <w:rsid w:val="00E008F4"/>
    <w:rsid w:val="00E011AA"/>
    <w:rsid w:val="00E0234A"/>
    <w:rsid w:val="00E0242E"/>
    <w:rsid w:val="00E026B0"/>
    <w:rsid w:val="00E02A1D"/>
    <w:rsid w:val="00E02B51"/>
    <w:rsid w:val="00E02BE0"/>
    <w:rsid w:val="00E02DE0"/>
    <w:rsid w:val="00E02E60"/>
    <w:rsid w:val="00E02F5E"/>
    <w:rsid w:val="00E02FCA"/>
    <w:rsid w:val="00E033F2"/>
    <w:rsid w:val="00E03804"/>
    <w:rsid w:val="00E03911"/>
    <w:rsid w:val="00E03996"/>
    <w:rsid w:val="00E03C2C"/>
    <w:rsid w:val="00E03CEE"/>
    <w:rsid w:val="00E048C0"/>
    <w:rsid w:val="00E04B31"/>
    <w:rsid w:val="00E04B7D"/>
    <w:rsid w:val="00E04BA3"/>
    <w:rsid w:val="00E04CC7"/>
    <w:rsid w:val="00E04FE1"/>
    <w:rsid w:val="00E057BE"/>
    <w:rsid w:val="00E05904"/>
    <w:rsid w:val="00E05AB7"/>
    <w:rsid w:val="00E05B6E"/>
    <w:rsid w:val="00E060AA"/>
    <w:rsid w:val="00E061C8"/>
    <w:rsid w:val="00E06221"/>
    <w:rsid w:val="00E0624F"/>
    <w:rsid w:val="00E06602"/>
    <w:rsid w:val="00E067E9"/>
    <w:rsid w:val="00E068C1"/>
    <w:rsid w:val="00E06B20"/>
    <w:rsid w:val="00E06B6B"/>
    <w:rsid w:val="00E06D6B"/>
    <w:rsid w:val="00E06E66"/>
    <w:rsid w:val="00E06EC3"/>
    <w:rsid w:val="00E06ED5"/>
    <w:rsid w:val="00E0714B"/>
    <w:rsid w:val="00E071BB"/>
    <w:rsid w:val="00E07202"/>
    <w:rsid w:val="00E07284"/>
    <w:rsid w:val="00E10182"/>
    <w:rsid w:val="00E10584"/>
    <w:rsid w:val="00E107C7"/>
    <w:rsid w:val="00E10999"/>
    <w:rsid w:val="00E11153"/>
    <w:rsid w:val="00E11E78"/>
    <w:rsid w:val="00E11F83"/>
    <w:rsid w:val="00E12156"/>
    <w:rsid w:val="00E122BA"/>
    <w:rsid w:val="00E12717"/>
    <w:rsid w:val="00E13400"/>
    <w:rsid w:val="00E13794"/>
    <w:rsid w:val="00E1385B"/>
    <w:rsid w:val="00E139D2"/>
    <w:rsid w:val="00E13A21"/>
    <w:rsid w:val="00E13CD7"/>
    <w:rsid w:val="00E13E72"/>
    <w:rsid w:val="00E146B0"/>
    <w:rsid w:val="00E14B25"/>
    <w:rsid w:val="00E14E70"/>
    <w:rsid w:val="00E15080"/>
    <w:rsid w:val="00E159C2"/>
    <w:rsid w:val="00E1647F"/>
    <w:rsid w:val="00E165A6"/>
    <w:rsid w:val="00E16703"/>
    <w:rsid w:val="00E170FF"/>
    <w:rsid w:val="00E173A3"/>
    <w:rsid w:val="00E20206"/>
    <w:rsid w:val="00E205F5"/>
    <w:rsid w:val="00E208C4"/>
    <w:rsid w:val="00E21104"/>
    <w:rsid w:val="00E21534"/>
    <w:rsid w:val="00E2181E"/>
    <w:rsid w:val="00E2188C"/>
    <w:rsid w:val="00E21E3F"/>
    <w:rsid w:val="00E21F77"/>
    <w:rsid w:val="00E2255D"/>
    <w:rsid w:val="00E2259F"/>
    <w:rsid w:val="00E225DC"/>
    <w:rsid w:val="00E22822"/>
    <w:rsid w:val="00E2351F"/>
    <w:rsid w:val="00E23552"/>
    <w:rsid w:val="00E23944"/>
    <w:rsid w:val="00E23D4F"/>
    <w:rsid w:val="00E23E88"/>
    <w:rsid w:val="00E241C4"/>
    <w:rsid w:val="00E242D0"/>
    <w:rsid w:val="00E249C4"/>
    <w:rsid w:val="00E252E1"/>
    <w:rsid w:val="00E256B6"/>
    <w:rsid w:val="00E258B1"/>
    <w:rsid w:val="00E25A8E"/>
    <w:rsid w:val="00E25C49"/>
    <w:rsid w:val="00E2692C"/>
    <w:rsid w:val="00E26C12"/>
    <w:rsid w:val="00E27021"/>
    <w:rsid w:val="00E276BB"/>
    <w:rsid w:val="00E277FF"/>
    <w:rsid w:val="00E2793E"/>
    <w:rsid w:val="00E2796B"/>
    <w:rsid w:val="00E27D1B"/>
    <w:rsid w:val="00E27E19"/>
    <w:rsid w:val="00E301E3"/>
    <w:rsid w:val="00E30372"/>
    <w:rsid w:val="00E3053E"/>
    <w:rsid w:val="00E30944"/>
    <w:rsid w:val="00E30C7E"/>
    <w:rsid w:val="00E31040"/>
    <w:rsid w:val="00E311B7"/>
    <w:rsid w:val="00E318CF"/>
    <w:rsid w:val="00E31901"/>
    <w:rsid w:val="00E31C28"/>
    <w:rsid w:val="00E31E4D"/>
    <w:rsid w:val="00E323F9"/>
    <w:rsid w:val="00E3251E"/>
    <w:rsid w:val="00E329B9"/>
    <w:rsid w:val="00E32AA0"/>
    <w:rsid w:val="00E33ACB"/>
    <w:rsid w:val="00E33B49"/>
    <w:rsid w:val="00E342BB"/>
    <w:rsid w:val="00E343EB"/>
    <w:rsid w:val="00E34473"/>
    <w:rsid w:val="00E34721"/>
    <w:rsid w:val="00E3493B"/>
    <w:rsid w:val="00E34AFC"/>
    <w:rsid w:val="00E34F9E"/>
    <w:rsid w:val="00E35623"/>
    <w:rsid w:val="00E35B95"/>
    <w:rsid w:val="00E35D82"/>
    <w:rsid w:val="00E35E2D"/>
    <w:rsid w:val="00E36012"/>
    <w:rsid w:val="00E36CB8"/>
    <w:rsid w:val="00E37897"/>
    <w:rsid w:val="00E37DE2"/>
    <w:rsid w:val="00E40104"/>
    <w:rsid w:val="00E402CA"/>
    <w:rsid w:val="00E40318"/>
    <w:rsid w:val="00E40519"/>
    <w:rsid w:val="00E40A1D"/>
    <w:rsid w:val="00E40AD7"/>
    <w:rsid w:val="00E414A6"/>
    <w:rsid w:val="00E41ED4"/>
    <w:rsid w:val="00E41F7C"/>
    <w:rsid w:val="00E421AB"/>
    <w:rsid w:val="00E42344"/>
    <w:rsid w:val="00E424D0"/>
    <w:rsid w:val="00E42B03"/>
    <w:rsid w:val="00E42B1B"/>
    <w:rsid w:val="00E42DB7"/>
    <w:rsid w:val="00E42E8E"/>
    <w:rsid w:val="00E43078"/>
    <w:rsid w:val="00E431C6"/>
    <w:rsid w:val="00E43A11"/>
    <w:rsid w:val="00E43B0E"/>
    <w:rsid w:val="00E43E7B"/>
    <w:rsid w:val="00E44234"/>
    <w:rsid w:val="00E443D3"/>
    <w:rsid w:val="00E4455E"/>
    <w:rsid w:val="00E4459E"/>
    <w:rsid w:val="00E44BA9"/>
    <w:rsid w:val="00E44C56"/>
    <w:rsid w:val="00E44F27"/>
    <w:rsid w:val="00E452F5"/>
    <w:rsid w:val="00E456E6"/>
    <w:rsid w:val="00E4579E"/>
    <w:rsid w:val="00E467BF"/>
    <w:rsid w:val="00E47085"/>
    <w:rsid w:val="00E4713E"/>
    <w:rsid w:val="00E47780"/>
    <w:rsid w:val="00E4786B"/>
    <w:rsid w:val="00E47904"/>
    <w:rsid w:val="00E47C6B"/>
    <w:rsid w:val="00E47F3C"/>
    <w:rsid w:val="00E507E3"/>
    <w:rsid w:val="00E507FF"/>
    <w:rsid w:val="00E50E73"/>
    <w:rsid w:val="00E51096"/>
    <w:rsid w:val="00E51492"/>
    <w:rsid w:val="00E51555"/>
    <w:rsid w:val="00E51DEF"/>
    <w:rsid w:val="00E52624"/>
    <w:rsid w:val="00E52D6D"/>
    <w:rsid w:val="00E52ECC"/>
    <w:rsid w:val="00E54B39"/>
    <w:rsid w:val="00E55879"/>
    <w:rsid w:val="00E55A1A"/>
    <w:rsid w:val="00E55E92"/>
    <w:rsid w:val="00E5642B"/>
    <w:rsid w:val="00E5748C"/>
    <w:rsid w:val="00E57596"/>
    <w:rsid w:val="00E576FC"/>
    <w:rsid w:val="00E57A4A"/>
    <w:rsid w:val="00E57D06"/>
    <w:rsid w:val="00E60273"/>
    <w:rsid w:val="00E60863"/>
    <w:rsid w:val="00E60907"/>
    <w:rsid w:val="00E6133B"/>
    <w:rsid w:val="00E61827"/>
    <w:rsid w:val="00E6199E"/>
    <w:rsid w:val="00E61D8E"/>
    <w:rsid w:val="00E61DE3"/>
    <w:rsid w:val="00E6235B"/>
    <w:rsid w:val="00E626F1"/>
    <w:rsid w:val="00E62A5A"/>
    <w:rsid w:val="00E630B8"/>
    <w:rsid w:val="00E634FD"/>
    <w:rsid w:val="00E63C85"/>
    <w:rsid w:val="00E641CA"/>
    <w:rsid w:val="00E6497E"/>
    <w:rsid w:val="00E64C0E"/>
    <w:rsid w:val="00E65039"/>
    <w:rsid w:val="00E6505C"/>
    <w:rsid w:val="00E65CDB"/>
    <w:rsid w:val="00E65DD7"/>
    <w:rsid w:val="00E66B38"/>
    <w:rsid w:val="00E67A6D"/>
    <w:rsid w:val="00E67AD3"/>
    <w:rsid w:val="00E67C80"/>
    <w:rsid w:val="00E67DA7"/>
    <w:rsid w:val="00E67FA8"/>
    <w:rsid w:val="00E70065"/>
    <w:rsid w:val="00E700E8"/>
    <w:rsid w:val="00E70298"/>
    <w:rsid w:val="00E70464"/>
    <w:rsid w:val="00E70C04"/>
    <w:rsid w:val="00E70F56"/>
    <w:rsid w:val="00E710AC"/>
    <w:rsid w:val="00E71393"/>
    <w:rsid w:val="00E715EF"/>
    <w:rsid w:val="00E71861"/>
    <w:rsid w:val="00E71DA4"/>
    <w:rsid w:val="00E7239C"/>
    <w:rsid w:val="00E72C8F"/>
    <w:rsid w:val="00E72E5A"/>
    <w:rsid w:val="00E72F20"/>
    <w:rsid w:val="00E73C4C"/>
    <w:rsid w:val="00E73C58"/>
    <w:rsid w:val="00E73FDF"/>
    <w:rsid w:val="00E74139"/>
    <w:rsid w:val="00E74688"/>
    <w:rsid w:val="00E74841"/>
    <w:rsid w:val="00E74D05"/>
    <w:rsid w:val="00E74F7C"/>
    <w:rsid w:val="00E75008"/>
    <w:rsid w:val="00E75222"/>
    <w:rsid w:val="00E758C0"/>
    <w:rsid w:val="00E75C9A"/>
    <w:rsid w:val="00E75E70"/>
    <w:rsid w:val="00E76771"/>
    <w:rsid w:val="00E775D7"/>
    <w:rsid w:val="00E779DB"/>
    <w:rsid w:val="00E80818"/>
    <w:rsid w:val="00E80D01"/>
    <w:rsid w:val="00E80EB6"/>
    <w:rsid w:val="00E8104F"/>
    <w:rsid w:val="00E81566"/>
    <w:rsid w:val="00E81873"/>
    <w:rsid w:val="00E81936"/>
    <w:rsid w:val="00E819E4"/>
    <w:rsid w:val="00E82556"/>
    <w:rsid w:val="00E82EC2"/>
    <w:rsid w:val="00E8348F"/>
    <w:rsid w:val="00E83606"/>
    <w:rsid w:val="00E83D8C"/>
    <w:rsid w:val="00E84150"/>
    <w:rsid w:val="00E84187"/>
    <w:rsid w:val="00E843E2"/>
    <w:rsid w:val="00E846D7"/>
    <w:rsid w:val="00E84703"/>
    <w:rsid w:val="00E848BE"/>
    <w:rsid w:val="00E8495F"/>
    <w:rsid w:val="00E84C2A"/>
    <w:rsid w:val="00E84EE2"/>
    <w:rsid w:val="00E850BE"/>
    <w:rsid w:val="00E85123"/>
    <w:rsid w:val="00E85735"/>
    <w:rsid w:val="00E858E3"/>
    <w:rsid w:val="00E85E6B"/>
    <w:rsid w:val="00E86476"/>
    <w:rsid w:val="00E867F8"/>
    <w:rsid w:val="00E86916"/>
    <w:rsid w:val="00E86966"/>
    <w:rsid w:val="00E86AFB"/>
    <w:rsid w:val="00E86EF6"/>
    <w:rsid w:val="00E870D8"/>
    <w:rsid w:val="00E8767C"/>
    <w:rsid w:val="00E879B5"/>
    <w:rsid w:val="00E87A98"/>
    <w:rsid w:val="00E87ADD"/>
    <w:rsid w:val="00E87D63"/>
    <w:rsid w:val="00E87EE3"/>
    <w:rsid w:val="00E87F6F"/>
    <w:rsid w:val="00E902B1"/>
    <w:rsid w:val="00E906D3"/>
    <w:rsid w:val="00E91427"/>
    <w:rsid w:val="00E9143E"/>
    <w:rsid w:val="00E91E49"/>
    <w:rsid w:val="00E9204C"/>
    <w:rsid w:val="00E9263D"/>
    <w:rsid w:val="00E92C49"/>
    <w:rsid w:val="00E9309E"/>
    <w:rsid w:val="00E934D8"/>
    <w:rsid w:val="00E93512"/>
    <w:rsid w:val="00E939C4"/>
    <w:rsid w:val="00E93B8A"/>
    <w:rsid w:val="00E93CE9"/>
    <w:rsid w:val="00E93F7C"/>
    <w:rsid w:val="00E943DB"/>
    <w:rsid w:val="00E947C9"/>
    <w:rsid w:val="00E94835"/>
    <w:rsid w:val="00E94DA4"/>
    <w:rsid w:val="00E9507A"/>
    <w:rsid w:val="00E951AB"/>
    <w:rsid w:val="00E95A03"/>
    <w:rsid w:val="00E95D7E"/>
    <w:rsid w:val="00E96279"/>
    <w:rsid w:val="00E962D9"/>
    <w:rsid w:val="00E963E0"/>
    <w:rsid w:val="00E965D2"/>
    <w:rsid w:val="00E968CE"/>
    <w:rsid w:val="00E9729A"/>
    <w:rsid w:val="00E97B5B"/>
    <w:rsid w:val="00E97C24"/>
    <w:rsid w:val="00E97F90"/>
    <w:rsid w:val="00EA0110"/>
    <w:rsid w:val="00EA01E9"/>
    <w:rsid w:val="00EA0592"/>
    <w:rsid w:val="00EA09F0"/>
    <w:rsid w:val="00EA0F80"/>
    <w:rsid w:val="00EA1548"/>
    <w:rsid w:val="00EA17A5"/>
    <w:rsid w:val="00EA17FB"/>
    <w:rsid w:val="00EA2867"/>
    <w:rsid w:val="00EA3A89"/>
    <w:rsid w:val="00EA3AC4"/>
    <w:rsid w:val="00EA3BAC"/>
    <w:rsid w:val="00EA3EBE"/>
    <w:rsid w:val="00EA3FEF"/>
    <w:rsid w:val="00EA4074"/>
    <w:rsid w:val="00EA42AC"/>
    <w:rsid w:val="00EA44B1"/>
    <w:rsid w:val="00EA4B5D"/>
    <w:rsid w:val="00EA523B"/>
    <w:rsid w:val="00EA5E8D"/>
    <w:rsid w:val="00EA5FC8"/>
    <w:rsid w:val="00EA643B"/>
    <w:rsid w:val="00EA6484"/>
    <w:rsid w:val="00EA6630"/>
    <w:rsid w:val="00EA666C"/>
    <w:rsid w:val="00EA67E5"/>
    <w:rsid w:val="00EA6B3A"/>
    <w:rsid w:val="00EA6D32"/>
    <w:rsid w:val="00EA739D"/>
    <w:rsid w:val="00EA746B"/>
    <w:rsid w:val="00EA7619"/>
    <w:rsid w:val="00EA77A7"/>
    <w:rsid w:val="00EA7D0C"/>
    <w:rsid w:val="00EB01F0"/>
    <w:rsid w:val="00EB0CCE"/>
    <w:rsid w:val="00EB0EA2"/>
    <w:rsid w:val="00EB126A"/>
    <w:rsid w:val="00EB19B4"/>
    <w:rsid w:val="00EB23F5"/>
    <w:rsid w:val="00EB241E"/>
    <w:rsid w:val="00EB272F"/>
    <w:rsid w:val="00EB2DA3"/>
    <w:rsid w:val="00EB2F22"/>
    <w:rsid w:val="00EB30C1"/>
    <w:rsid w:val="00EB33AF"/>
    <w:rsid w:val="00EB36E7"/>
    <w:rsid w:val="00EB376D"/>
    <w:rsid w:val="00EB4313"/>
    <w:rsid w:val="00EB47EE"/>
    <w:rsid w:val="00EB4914"/>
    <w:rsid w:val="00EB4CFD"/>
    <w:rsid w:val="00EB4D78"/>
    <w:rsid w:val="00EB5E1A"/>
    <w:rsid w:val="00EB6B5B"/>
    <w:rsid w:val="00EB7245"/>
    <w:rsid w:val="00EB7A39"/>
    <w:rsid w:val="00EB7DD6"/>
    <w:rsid w:val="00EC0100"/>
    <w:rsid w:val="00EC01A6"/>
    <w:rsid w:val="00EC0457"/>
    <w:rsid w:val="00EC0C7B"/>
    <w:rsid w:val="00EC11A1"/>
    <w:rsid w:val="00EC151B"/>
    <w:rsid w:val="00EC19ED"/>
    <w:rsid w:val="00EC1A1E"/>
    <w:rsid w:val="00EC1B1C"/>
    <w:rsid w:val="00EC1B43"/>
    <w:rsid w:val="00EC28A1"/>
    <w:rsid w:val="00EC2A26"/>
    <w:rsid w:val="00EC2AE5"/>
    <w:rsid w:val="00EC2F81"/>
    <w:rsid w:val="00EC37F7"/>
    <w:rsid w:val="00EC3BD8"/>
    <w:rsid w:val="00EC45C4"/>
    <w:rsid w:val="00EC45DF"/>
    <w:rsid w:val="00EC47B9"/>
    <w:rsid w:val="00EC4C8D"/>
    <w:rsid w:val="00EC505A"/>
    <w:rsid w:val="00EC521A"/>
    <w:rsid w:val="00EC525B"/>
    <w:rsid w:val="00EC5B64"/>
    <w:rsid w:val="00EC5D19"/>
    <w:rsid w:val="00EC629F"/>
    <w:rsid w:val="00EC6587"/>
    <w:rsid w:val="00EC6803"/>
    <w:rsid w:val="00EC68EE"/>
    <w:rsid w:val="00EC6E27"/>
    <w:rsid w:val="00EC7091"/>
    <w:rsid w:val="00EC7C4F"/>
    <w:rsid w:val="00ED194D"/>
    <w:rsid w:val="00ED1EF4"/>
    <w:rsid w:val="00ED2905"/>
    <w:rsid w:val="00ED2ACD"/>
    <w:rsid w:val="00ED33C6"/>
    <w:rsid w:val="00ED350A"/>
    <w:rsid w:val="00ED3727"/>
    <w:rsid w:val="00ED3FDE"/>
    <w:rsid w:val="00ED40D4"/>
    <w:rsid w:val="00ED43EE"/>
    <w:rsid w:val="00ED45A4"/>
    <w:rsid w:val="00ED4BD1"/>
    <w:rsid w:val="00ED599A"/>
    <w:rsid w:val="00ED5A78"/>
    <w:rsid w:val="00ED5C7D"/>
    <w:rsid w:val="00ED5EA1"/>
    <w:rsid w:val="00ED654B"/>
    <w:rsid w:val="00ED6E2A"/>
    <w:rsid w:val="00ED7110"/>
    <w:rsid w:val="00ED7221"/>
    <w:rsid w:val="00ED7608"/>
    <w:rsid w:val="00ED7993"/>
    <w:rsid w:val="00ED7F64"/>
    <w:rsid w:val="00EE0516"/>
    <w:rsid w:val="00EE07EC"/>
    <w:rsid w:val="00EE083B"/>
    <w:rsid w:val="00EE086E"/>
    <w:rsid w:val="00EE088C"/>
    <w:rsid w:val="00EE0AAB"/>
    <w:rsid w:val="00EE1A36"/>
    <w:rsid w:val="00EE1ACF"/>
    <w:rsid w:val="00EE1CFF"/>
    <w:rsid w:val="00EE22DF"/>
    <w:rsid w:val="00EE284C"/>
    <w:rsid w:val="00EE2A69"/>
    <w:rsid w:val="00EE2B43"/>
    <w:rsid w:val="00EE2B4D"/>
    <w:rsid w:val="00EE32AE"/>
    <w:rsid w:val="00EE37A6"/>
    <w:rsid w:val="00EE3CB2"/>
    <w:rsid w:val="00EE3E9D"/>
    <w:rsid w:val="00EE3F90"/>
    <w:rsid w:val="00EE3FA7"/>
    <w:rsid w:val="00EE403D"/>
    <w:rsid w:val="00EE4F25"/>
    <w:rsid w:val="00EE5615"/>
    <w:rsid w:val="00EE5675"/>
    <w:rsid w:val="00EE5B04"/>
    <w:rsid w:val="00EE5F00"/>
    <w:rsid w:val="00EE6E86"/>
    <w:rsid w:val="00EE6F95"/>
    <w:rsid w:val="00EE72E7"/>
    <w:rsid w:val="00EE73D1"/>
    <w:rsid w:val="00EE7B4F"/>
    <w:rsid w:val="00EE7C5E"/>
    <w:rsid w:val="00EE7EAE"/>
    <w:rsid w:val="00EF010E"/>
    <w:rsid w:val="00EF075F"/>
    <w:rsid w:val="00EF09F5"/>
    <w:rsid w:val="00EF0BC8"/>
    <w:rsid w:val="00EF0C5A"/>
    <w:rsid w:val="00EF0FA8"/>
    <w:rsid w:val="00EF20C9"/>
    <w:rsid w:val="00EF21CA"/>
    <w:rsid w:val="00EF2713"/>
    <w:rsid w:val="00EF274C"/>
    <w:rsid w:val="00EF2C92"/>
    <w:rsid w:val="00EF2F42"/>
    <w:rsid w:val="00EF3879"/>
    <w:rsid w:val="00EF4352"/>
    <w:rsid w:val="00EF46CE"/>
    <w:rsid w:val="00EF4DEE"/>
    <w:rsid w:val="00EF54F1"/>
    <w:rsid w:val="00EF59B2"/>
    <w:rsid w:val="00EF60EE"/>
    <w:rsid w:val="00EF62D3"/>
    <w:rsid w:val="00EF6529"/>
    <w:rsid w:val="00EF71E3"/>
    <w:rsid w:val="00EF7C2B"/>
    <w:rsid w:val="00EF7C7A"/>
    <w:rsid w:val="00F004EC"/>
    <w:rsid w:val="00F00F7A"/>
    <w:rsid w:val="00F011A2"/>
    <w:rsid w:val="00F01688"/>
    <w:rsid w:val="00F0174A"/>
    <w:rsid w:val="00F01E2F"/>
    <w:rsid w:val="00F01E3F"/>
    <w:rsid w:val="00F01FF3"/>
    <w:rsid w:val="00F02455"/>
    <w:rsid w:val="00F02B26"/>
    <w:rsid w:val="00F03924"/>
    <w:rsid w:val="00F03F40"/>
    <w:rsid w:val="00F04134"/>
    <w:rsid w:val="00F04E18"/>
    <w:rsid w:val="00F05202"/>
    <w:rsid w:val="00F052B1"/>
    <w:rsid w:val="00F058DB"/>
    <w:rsid w:val="00F06269"/>
    <w:rsid w:val="00F065A8"/>
    <w:rsid w:val="00F06631"/>
    <w:rsid w:val="00F06AE4"/>
    <w:rsid w:val="00F06EC3"/>
    <w:rsid w:val="00F07004"/>
    <w:rsid w:val="00F07194"/>
    <w:rsid w:val="00F07273"/>
    <w:rsid w:val="00F07DDB"/>
    <w:rsid w:val="00F1009C"/>
    <w:rsid w:val="00F105C5"/>
    <w:rsid w:val="00F1097E"/>
    <w:rsid w:val="00F10CBC"/>
    <w:rsid w:val="00F11502"/>
    <w:rsid w:val="00F11808"/>
    <w:rsid w:val="00F11932"/>
    <w:rsid w:val="00F11B59"/>
    <w:rsid w:val="00F11E34"/>
    <w:rsid w:val="00F12156"/>
    <w:rsid w:val="00F12417"/>
    <w:rsid w:val="00F124AD"/>
    <w:rsid w:val="00F12A40"/>
    <w:rsid w:val="00F12D2D"/>
    <w:rsid w:val="00F131CE"/>
    <w:rsid w:val="00F13BA8"/>
    <w:rsid w:val="00F145CA"/>
    <w:rsid w:val="00F14764"/>
    <w:rsid w:val="00F152A1"/>
    <w:rsid w:val="00F1568C"/>
    <w:rsid w:val="00F1584D"/>
    <w:rsid w:val="00F15A0C"/>
    <w:rsid w:val="00F15A8B"/>
    <w:rsid w:val="00F15DF0"/>
    <w:rsid w:val="00F15E76"/>
    <w:rsid w:val="00F160C6"/>
    <w:rsid w:val="00F16319"/>
    <w:rsid w:val="00F166CD"/>
    <w:rsid w:val="00F166DF"/>
    <w:rsid w:val="00F16DDC"/>
    <w:rsid w:val="00F16E38"/>
    <w:rsid w:val="00F17127"/>
    <w:rsid w:val="00F1770C"/>
    <w:rsid w:val="00F177DB"/>
    <w:rsid w:val="00F20567"/>
    <w:rsid w:val="00F2056F"/>
    <w:rsid w:val="00F207F1"/>
    <w:rsid w:val="00F20A49"/>
    <w:rsid w:val="00F20ADA"/>
    <w:rsid w:val="00F20DC2"/>
    <w:rsid w:val="00F21459"/>
    <w:rsid w:val="00F2146F"/>
    <w:rsid w:val="00F219FC"/>
    <w:rsid w:val="00F21AFE"/>
    <w:rsid w:val="00F21C14"/>
    <w:rsid w:val="00F21D39"/>
    <w:rsid w:val="00F22010"/>
    <w:rsid w:val="00F223CD"/>
    <w:rsid w:val="00F22784"/>
    <w:rsid w:val="00F22F84"/>
    <w:rsid w:val="00F23B73"/>
    <w:rsid w:val="00F23D6C"/>
    <w:rsid w:val="00F23EE3"/>
    <w:rsid w:val="00F241F2"/>
    <w:rsid w:val="00F24752"/>
    <w:rsid w:val="00F249A0"/>
    <w:rsid w:val="00F24A80"/>
    <w:rsid w:val="00F24B4A"/>
    <w:rsid w:val="00F25287"/>
    <w:rsid w:val="00F2536A"/>
    <w:rsid w:val="00F2572A"/>
    <w:rsid w:val="00F258AC"/>
    <w:rsid w:val="00F25B84"/>
    <w:rsid w:val="00F2616F"/>
    <w:rsid w:val="00F26F4D"/>
    <w:rsid w:val="00F27966"/>
    <w:rsid w:val="00F27C23"/>
    <w:rsid w:val="00F3005B"/>
    <w:rsid w:val="00F30141"/>
    <w:rsid w:val="00F30583"/>
    <w:rsid w:val="00F30A14"/>
    <w:rsid w:val="00F313B8"/>
    <w:rsid w:val="00F313C8"/>
    <w:rsid w:val="00F3150F"/>
    <w:rsid w:val="00F3157E"/>
    <w:rsid w:val="00F3235A"/>
    <w:rsid w:val="00F32678"/>
    <w:rsid w:val="00F326A8"/>
    <w:rsid w:val="00F32C73"/>
    <w:rsid w:val="00F3313F"/>
    <w:rsid w:val="00F3318F"/>
    <w:rsid w:val="00F335E8"/>
    <w:rsid w:val="00F338BD"/>
    <w:rsid w:val="00F33FF2"/>
    <w:rsid w:val="00F346E1"/>
    <w:rsid w:val="00F3499E"/>
    <w:rsid w:val="00F349BD"/>
    <w:rsid w:val="00F34A74"/>
    <w:rsid w:val="00F35272"/>
    <w:rsid w:val="00F3562E"/>
    <w:rsid w:val="00F35E78"/>
    <w:rsid w:val="00F36CA8"/>
    <w:rsid w:val="00F3717F"/>
    <w:rsid w:val="00F374B0"/>
    <w:rsid w:val="00F3772B"/>
    <w:rsid w:val="00F37827"/>
    <w:rsid w:val="00F37BA8"/>
    <w:rsid w:val="00F37D94"/>
    <w:rsid w:val="00F40224"/>
    <w:rsid w:val="00F409D2"/>
    <w:rsid w:val="00F40F72"/>
    <w:rsid w:val="00F411E3"/>
    <w:rsid w:val="00F4155C"/>
    <w:rsid w:val="00F41891"/>
    <w:rsid w:val="00F41A39"/>
    <w:rsid w:val="00F41F10"/>
    <w:rsid w:val="00F4213C"/>
    <w:rsid w:val="00F42E33"/>
    <w:rsid w:val="00F42F5B"/>
    <w:rsid w:val="00F43AEE"/>
    <w:rsid w:val="00F44645"/>
    <w:rsid w:val="00F44695"/>
    <w:rsid w:val="00F44A41"/>
    <w:rsid w:val="00F4572D"/>
    <w:rsid w:val="00F45A8B"/>
    <w:rsid w:val="00F45DE0"/>
    <w:rsid w:val="00F45E0A"/>
    <w:rsid w:val="00F463F0"/>
    <w:rsid w:val="00F46B4D"/>
    <w:rsid w:val="00F46DC2"/>
    <w:rsid w:val="00F471E5"/>
    <w:rsid w:val="00F477EF"/>
    <w:rsid w:val="00F47873"/>
    <w:rsid w:val="00F47FB5"/>
    <w:rsid w:val="00F504E5"/>
    <w:rsid w:val="00F50969"/>
    <w:rsid w:val="00F50B42"/>
    <w:rsid w:val="00F50B5D"/>
    <w:rsid w:val="00F50EBA"/>
    <w:rsid w:val="00F514DB"/>
    <w:rsid w:val="00F51682"/>
    <w:rsid w:val="00F517FA"/>
    <w:rsid w:val="00F51B6B"/>
    <w:rsid w:val="00F52279"/>
    <w:rsid w:val="00F5268A"/>
    <w:rsid w:val="00F52754"/>
    <w:rsid w:val="00F53231"/>
    <w:rsid w:val="00F53540"/>
    <w:rsid w:val="00F5356E"/>
    <w:rsid w:val="00F538A5"/>
    <w:rsid w:val="00F53EDA"/>
    <w:rsid w:val="00F53F55"/>
    <w:rsid w:val="00F54209"/>
    <w:rsid w:val="00F54385"/>
    <w:rsid w:val="00F54AC6"/>
    <w:rsid w:val="00F550E5"/>
    <w:rsid w:val="00F557ED"/>
    <w:rsid w:val="00F55892"/>
    <w:rsid w:val="00F55E01"/>
    <w:rsid w:val="00F562CD"/>
    <w:rsid w:val="00F56571"/>
    <w:rsid w:val="00F56709"/>
    <w:rsid w:val="00F57426"/>
    <w:rsid w:val="00F5752E"/>
    <w:rsid w:val="00F5767E"/>
    <w:rsid w:val="00F578C3"/>
    <w:rsid w:val="00F6033E"/>
    <w:rsid w:val="00F6079D"/>
    <w:rsid w:val="00F609AC"/>
    <w:rsid w:val="00F60D24"/>
    <w:rsid w:val="00F6102D"/>
    <w:rsid w:val="00F6136E"/>
    <w:rsid w:val="00F61A3B"/>
    <w:rsid w:val="00F620B6"/>
    <w:rsid w:val="00F6238A"/>
    <w:rsid w:val="00F62694"/>
    <w:rsid w:val="00F62955"/>
    <w:rsid w:val="00F6298F"/>
    <w:rsid w:val="00F63199"/>
    <w:rsid w:val="00F635CF"/>
    <w:rsid w:val="00F63684"/>
    <w:rsid w:val="00F636AA"/>
    <w:rsid w:val="00F63A02"/>
    <w:rsid w:val="00F63B73"/>
    <w:rsid w:val="00F63C4D"/>
    <w:rsid w:val="00F63FA4"/>
    <w:rsid w:val="00F64253"/>
    <w:rsid w:val="00F64515"/>
    <w:rsid w:val="00F6473C"/>
    <w:rsid w:val="00F64ED0"/>
    <w:rsid w:val="00F64F3D"/>
    <w:rsid w:val="00F656CA"/>
    <w:rsid w:val="00F65EB7"/>
    <w:rsid w:val="00F65FE5"/>
    <w:rsid w:val="00F667A2"/>
    <w:rsid w:val="00F668F2"/>
    <w:rsid w:val="00F66B15"/>
    <w:rsid w:val="00F66B53"/>
    <w:rsid w:val="00F67030"/>
    <w:rsid w:val="00F672BA"/>
    <w:rsid w:val="00F67305"/>
    <w:rsid w:val="00F6777C"/>
    <w:rsid w:val="00F67C5E"/>
    <w:rsid w:val="00F67D8F"/>
    <w:rsid w:val="00F70399"/>
    <w:rsid w:val="00F70689"/>
    <w:rsid w:val="00F70B6D"/>
    <w:rsid w:val="00F71533"/>
    <w:rsid w:val="00F71592"/>
    <w:rsid w:val="00F715D1"/>
    <w:rsid w:val="00F716E0"/>
    <w:rsid w:val="00F71772"/>
    <w:rsid w:val="00F71785"/>
    <w:rsid w:val="00F71804"/>
    <w:rsid w:val="00F718F5"/>
    <w:rsid w:val="00F719AD"/>
    <w:rsid w:val="00F719C4"/>
    <w:rsid w:val="00F71A7E"/>
    <w:rsid w:val="00F71B7D"/>
    <w:rsid w:val="00F7208A"/>
    <w:rsid w:val="00F7214A"/>
    <w:rsid w:val="00F723C0"/>
    <w:rsid w:val="00F726D6"/>
    <w:rsid w:val="00F72843"/>
    <w:rsid w:val="00F72D0F"/>
    <w:rsid w:val="00F73595"/>
    <w:rsid w:val="00F7449E"/>
    <w:rsid w:val="00F74548"/>
    <w:rsid w:val="00F74604"/>
    <w:rsid w:val="00F74835"/>
    <w:rsid w:val="00F7497E"/>
    <w:rsid w:val="00F74C0B"/>
    <w:rsid w:val="00F74D10"/>
    <w:rsid w:val="00F75547"/>
    <w:rsid w:val="00F76289"/>
    <w:rsid w:val="00F76962"/>
    <w:rsid w:val="00F76A85"/>
    <w:rsid w:val="00F76CAA"/>
    <w:rsid w:val="00F77025"/>
    <w:rsid w:val="00F77443"/>
    <w:rsid w:val="00F8065B"/>
    <w:rsid w:val="00F807A2"/>
    <w:rsid w:val="00F80919"/>
    <w:rsid w:val="00F81108"/>
    <w:rsid w:val="00F81BE2"/>
    <w:rsid w:val="00F8202F"/>
    <w:rsid w:val="00F822D6"/>
    <w:rsid w:val="00F82681"/>
    <w:rsid w:val="00F82699"/>
    <w:rsid w:val="00F829D1"/>
    <w:rsid w:val="00F82BEF"/>
    <w:rsid w:val="00F82DDF"/>
    <w:rsid w:val="00F82E8F"/>
    <w:rsid w:val="00F833A8"/>
    <w:rsid w:val="00F83669"/>
    <w:rsid w:val="00F83C0C"/>
    <w:rsid w:val="00F83ECA"/>
    <w:rsid w:val="00F83FEE"/>
    <w:rsid w:val="00F84546"/>
    <w:rsid w:val="00F8476D"/>
    <w:rsid w:val="00F84C8D"/>
    <w:rsid w:val="00F85080"/>
    <w:rsid w:val="00F852D7"/>
    <w:rsid w:val="00F85D5C"/>
    <w:rsid w:val="00F85E01"/>
    <w:rsid w:val="00F86963"/>
    <w:rsid w:val="00F8701B"/>
    <w:rsid w:val="00F8724B"/>
    <w:rsid w:val="00F87434"/>
    <w:rsid w:val="00F87C0A"/>
    <w:rsid w:val="00F87DC4"/>
    <w:rsid w:val="00F900FC"/>
    <w:rsid w:val="00F90261"/>
    <w:rsid w:val="00F902A7"/>
    <w:rsid w:val="00F90C34"/>
    <w:rsid w:val="00F9118F"/>
    <w:rsid w:val="00F9147A"/>
    <w:rsid w:val="00F91C9B"/>
    <w:rsid w:val="00F92194"/>
    <w:rsid w:val="00F925FF"/>
    <w:rsid w:val="00F93D95"/>
    <w:rsid w:val="00F93FC5"/>
    <w:rsid w:val="00F942F2"/>
    <w:rsid w:val="00F95185"/>
    <w:rsid w:val="00F9536E"/>
    <w:rsid w:val="00F95F2A"/>
    <w:rsid w:val="00F9607F"/>
    <w:rsid w:val="00F96281"/>
    <w:rsid w:val="00F96908"/>
    <w:rsid w:val="00F96EEF"/>
    <w:rsid w:val="00F96FC1"/>
    <w:rsid w:val="00F970DC"/>
    <w:rsid w:val="00F9745B"/>
    <w:rsid w:val="00F975AE"/>
    <w:rsid w:val="00FA01DE"/>
    <w:rsid w:val="00FA050E"/>
    <w:rsid w:val="00FA0FB0"/>
    <w:rsid w:val="00FA1687"/>
    <w:rsid w:val="00FA16E7"/>
    <w:rsid w:val="00FA173A"/>
    <w:rsid w:val="00FA1817"/>
    <w:rsid w:val="00FA1A82"/>
    <w:rsid w:val="00FA1EFA"/>
    <w:rsid w:val="00FA1F2C"/>
    <w:rsid w:val="00FA23BB"/>
    <w:rsid w:val="00FA2785"/>
    <w:rsid w:val="00FA28E0"/>
    <w:rsid w:val="00FA2B8C"/>
    <w:rsid w:val="00FA2C20"/>
    <w:rsid w:val="00FA2E5E"/>
    <w:rsid w:val="00FA3734"/>
    <w:rsid w:val="00FA3C8F"/>
    <w:rsid w:val="00FA40E8"/>
    <w:rsid w:val="00FA41E5"/>
    <w:rsid w:val="00FA4238"/>
    <w:rsid w:val="00FA45F7"/>
    <w:rsid w:val="00FA4D0C"/>
    <w:rsid w:val="00FA4F80"/>
    <w:rsid w:val="00FA5C00"/>
    <w:rsid w:val="00FA5F87"/>
    <w:rsid w:val="00FA6136"/>
    <w:rsid w:val="00FA65C5"/>
    <w:rsid w:val="00FA68E8"/>
    <w:rsid w:val="00FA690F"/>
    <w:rsid w:val="00FA6A14"/>
    <w:rsid w:val="00FA6B94"/>
    <w:rsid w:val="00FA6E3D"/>
    <w:rsid w:val="00FA723B"/>
    <w:rsid w:val="00FA73C6"/>
    <w:rsid w:val="00FA75BF"/>
    <w:rsid w:val="00FA7689"/>
    <w:rsid w:val="00FA7729"/>
    <w:rsid w:val="00FA78F0"/>
    <w:rsid w:val="00FA7A2F"/>
    <w:rsid w:val="00FA7C90"/>
    <w:rsid w:val="00FB0315"/>
    <w:rsid w:val="00FB09FC"/>
    <w:rsid w:val="00FB0FB8"/>
    <w:rsid w:val="00FB101F"/>
    <w:rsid w:val="00FB105C"/>
    <w:rsid w:val="00FB2405"/>
    <w:rsid w:val="00FB2426"/>
    <w:rsid w:val="00FB24BF"/>
    <w:rsid w:val="00FB2D83"/>
    <w:rsid w:val="00FB2DD0"/>
    <w:rsid w:val="00FB32DA"/>
    <w:rsid w:val="00FB3D00"/>
    <w:rsid w:val="00FB48F4"/>
    <w:rsid w:val="00FB4A65"/>
    <w:rsid w:val="00FB4CE6"/>
    <w:rsid w:val="00FB4F8C"/>
    <w:rsid w:val="00FB556B"/>
    <w:rsid w:val="00FB55F3"/>
    <w:rsid w:val="00FB5AFD"/>
    <w:rsid w:val="00FB6235"/>
    <w:rsid w:val="00FB6549"/>
    <w:rsid w:val="00FB6CC3"/>
    <w:rsid w:val="00FB7250"/>
    <w:rsid w:val="00FB7391"/>
    <w:rsid w:val="00FB7517"/>
    <w:rsid w:val="00FC03DB"/>
    <w:rsid w:val="00FC0609"/>
    <w:rsid w:val="00FC0709"/>
    <w:rsid w:val="00FC115F"/>
    <w:rsid w:val="00FC19E1"/>
    <w:rsid w:val="00FC1B52"/>
    <w:rsid w:val="00FC1C92"/>
    <w:rsid w:val="00FC1DD2"/>
    <w:rsid w:val="00FC1E19"/>
    <w:rsid w:val="00FC2B5D"/>
    <w:rsid w:val="00FC2FBE"/>
    <w:rsid w:val="00FC3318"/>
    <w:rsid w:val="00FC35EE"/>
    <w:rsid w:val="00FC39A2"/>
    <w:rsid w:val="00FC3A08"/>
    <w:rsid w:val="00FC3A23"/>
    <w:rsid w:val="00FC410A"/>
    <w:rsid w:val="00FC4195"/>
    <w:rsid w:val="00FC4805"/>
    <w:rsid w:val="00FC4CF5"/>
    <w:rsid w:val="00FC5286"/>
    <w:rsid w:val="00FC58BA"/>
    <w:rsid w:val="00FC5F33"/>
    <w:rsid w:val="00FC6228"/>
    <w:rsid w:val="00FC62E0"/>
    <w:rsid w:val="00FC64BB"/>
    <w:rsid w:val="00FC6972"/>
    <w:rsid w:val="00FC6AF8"/>
    <w:rsid w:val="00FC6C66"/>
    <w:rsid w:val="00FC7264"/>
    <w:rsid w:val="00FC7313"/>
    <w:rsid w:val="00FC73A2"/>
    <w:rsid w:val="00FC73E5"/>
    <w:rsid w:val="00FC748F"/>
    <w:rsid w:val="00FC7A3A"/>
    <w:rsid w:val="00FD0027"/>
    <w:rsid w:val="00FD01CA"/>
    <w:rsid w:val="00FD0470"/>
    <w:rsid w:val="00FD0619"/>
    <w:rsid w:val="00FD0AD3"/>
    <w:rsid w:val="00FD0AF3"/>
    <w:rsid w:val="00FD1B27"/>
    <w:rsid w:val="00FD1B62"/>
    <w:rsid w:val="00FD1FED"/>
    <w:rsid w:val="00FD2590"/>
    <w:rsid w:val="00FD25E6"/>
    <w:rsid w:val="00FD2718"/>
    <w:rsid w:val="00FD2ACA"/>
    <w:rsid w:val="00FD2C33"/>
    <w:rsid w:val="00FD2E31"/>
    <w:rsid w:val="00FD321C"/>
    <w:rsid w:val="00FD3354"/>
    <w:rsid w:val="00FD38FE"/>
    <w:rsid w:val="00FD3AB2"/>
    <w:rsid w:val="00FD42FA"/>
    <w:rsid w:val="00FD44C6"/>
    <w:rsid w:val="00FD467D"/>
    <w:rsid w:val="00FD467F"/>
    <w:rsid w:val="00FD47E6"/>
    <w:rsid w:val="00FD4835"/>
    <w:rsid w:val="00FD4B9B"/>
    <w:rsid w:val="00FD4BA4"/>
    <w:rsid w:val="00FD4E71"/>
    <w:rsid w:val="00FD54E7"/>
    <w:rsid w:val="00FD5BC2"/>
    <w:rsid w:val="00FD5F7A"/>
    <w:rsid w:val="00FD637E"/>
    <w:rsid w:val="00FD6883"/>
    <w:rsid w:val="00FD6AB4"/>
    <w:rsid w:val="00FD7BD7"/>
    <w:rsid w:val="00FE003A"/>
    <w:rsid w:val="00FE05BD"/>
    <w:rsid w:val="00FE074E"/>
    <w:rsid w:val="00FE07B2"/>
    <w:rsid w:val="00FE07B7"/>
    <w:rsid w:val="00FE14D7"/>
    <w:rsid w:val="00FE1644"/>
    <w:rsid w:val="00FE164F"/>
    <w:rsid w:val="00FE17C6"/>
    <w:rsid w:val="00FE1F72"/>
    <w:rsid w:val="00FE2154"/>
    <w:rsid w:val="00FE21FF"/>
    <w:rsid w:val="00FE234B"/>
    <w:rsid w:val="00FE29FC"/>
    <w:rsid w:val="00FE2B9B"/>
    <w:rsid w:val="00FE2F08"/>
    <w:rsid w:val="00FE300F"/>
    <w:rsid w:val="00FE3218"/>
    <w:rsid w:val="00FE3C9E"/>
    <w:rsid w:val="00FE3CA5"/>
    <w:rsid w:val="00FE3F6B"/>
    <w:rsid w:val="00FE41FA"/>
    <w:rsid w:val="00FE4CC4"/>
    <w:rsid w:val="00FE58BD"/>
    <w:rsid w:val="00FE5BD7"/>
    <w:rsid w:val="00FE647B"/>
    <w:rsid w:val="00FE740B"/>
    <w:rsid w:val="00FE77F7"/>
    <w:rsid w:val="00FE7D2C"/>
    <w:rsid w:val="00FE7D63"/>
    <w:rsid w:val="00FE7EB5"/>
    <w:rsid w:val="00FE7F70"/>
    <w:rsid w:val="00FF072E"/>
    <w:rsid w:val="00FF0D8A"/>
    <w:rsid w:val="00FF0F01"/>
    <w:rsid w:val="00FF188A"/>
    <w:rsid w:val="00FF1DD4"/>
    <w:rsid w:val="00FF1F50"/>
    <w:rsid w:val="00FF22F3"/>
    <w:rsid w:val="00FF33B7"/>
    <w:rsid w:val="00FF3482"/>
    <w:rsid w:val="00FF3A7E"/>
    <w:rsid w:val="00FF3C6C"/>
    <w:rsid w:val="00FF409A"/>
    <w:rsid w:val="00FF41E9"/>
    <w:rsid w:val="00FF4837"/>
    <w:rsid w:val="00FF52DB"/>
    <w:rsid w:val="00FF5523"/>
    <w:rsid w:val="00FF55D6"/>
    <w:rsid w:val="00FF5944"/>
    <w:rsid w:val="00FF59E9"/>
    <w:rsid w:val="00FF612C"/>
    <w:rsid w:val="00FF656E"/>
    <w:rsid w:val="00FF6949"/>
    <w:rsid w:val="00FF6C90"/>
    <w:rsid w:val="00FF6D84"/>
    <w:rsid w:val="00FF718D"/>
    <w:rsid w:val="00FF77A1"/>
    <w:rsid w:val="00FF7FAA"/>
    <w:rsid w:val="301A15E8"/>
    <w:rsid w:val="33855DEC"/>
    <w:rsid w:val="384C1D8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qFormat="1" w:unhideWhenUsed="0" w:uiPriority="39" w:semiHidden="0" w:name="toc 3"/>
    <w:lsdException w:uiPriority="39" w:semiHidden="0" w:name="toc 4"/>
    <w:lsdException w:qFormat="1" w:uiPriority="39" w:semiHidden="0" w:name="toc 5"/>
    <w:lsdException w:uiPriority="39" w:semiHidden="0" w:name="toc 6"/>
    <w:lsdException w:uiPriority="39" w:semiHidden="0" w:name="toc 7"/>
    <w:lsdException w:uiPriority="39" w:semiHidden="0" w:name="toc 8"/>
    <w:lsdException w:uiPriority="39" w:semiHidden="0" w:name="toc 9"/>
    <w:lsdException w:qFormat="1" w:unhideWhenUsed="0" w:uiPriority="0" w:semiHidden="0" w:name="Normal Indent"/>
    <w:lsdException w:unhideWhenUsed="0" w:uiPriority="99" w:semiHidden="0" w:name="footnote text"/>
    <w:lsdException w:uiPriority="0" w:semiHidden="0" w:name="annotation text"/>
    <w:lsdException w:uiPriority="0" w:semiHidden="0" w:name="header"/>
    <w:lsdException w:qFormat="1" w:uiPriority="0" w:semiHidden="0" w:name="footer"/>
    <w:lsdException w:unhideWhenUsed="0" w:uiPriority="0" w:semiHidden="0" w:name="index heading"/>
    <w:lsdException w:qFormat="1" w:uiPriority="35" w:semiHidden="0" w:name="caption"/>
    <w:lsdException w:uiPriority="99"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qFormat="1" w:uiPriority="0" w:semiHidden="0" w:name="endnote reference"/>
    <w:lsdException w:qFormat="1" w:uiPriority="0" w:semiHidden="0" w:name="endnote text"/>
    <w:lsdException w:uiPriority="99" w:name="table of authorities"/>
    <w:lsdException w:uiPriority="99" w:name="macro"/>
    <w:lsdException w:qFormat="1" w:unhideWhenUsed="0" w:uiPriority="0" w:name="toa heading"/>
    <w:lsdException w:qFormat="1" w:unhideWhenUsed="0" w:uiPriority="0" w:semiHidden="0" w:name="List"/>
    <w:lsdException w:qFormat="1" w:unhideWhenUsed="0" w:uiPriority="99"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uiPriority="1" w:name="Default Paragraph Font"/>
    <w:lsdException w:unhideWhenUsed="0" w:uiPriority="99" w:semiHidden="0" w:name="Body Text"/>
    <w:lsdException w:uiPriority="0" w:semiHidden="0" w:name="Body Text Indent"/>
    <w:lsdException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qFormat="1" w:unhideWhenUsed="0" w:uiPriority="0" w:semiHidden="0" w:name="Table List 2"/>
    <w:lsdException w:unhideWhenUsed="0" w:uiPriority="0" w:semiHidden="0" w:name="Table List 3"/>
    <w:lsdException w:qFormat="1" w:unhideWhenUsed="0" w:uiPriority="0" w:semiHidden="0" w:name="Table List 4"/>
    <w:lsdException w:qFormat="1"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qFormat="1" w:unhideWhenUsed="0" w:uiPriority="0" w:semiHidden="0" w:name="Table 3D effects 2"/>
    <w:lsdException w:qFormat="1"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qFormat="1" w:unhideWhenUsed="0" w:uiPriority="0" w:semiHidden="0" w:name="Table Subtle 1"/>
    <w:lsdException w:unhideWhenUsed="0" w:uiPriority="0" w:semiHidden="0" w:name="Table Subtle 2"/>
    <w:lsdException w:unhideWhenUsed="0" w:uiPriority="0" w:semiHidden="0" w:name="Table Web 1"/>
    <w:lsdException w:qFormat="1" w:unhideWhenUsed="0" w:uiPriority="0" w:semiHidden="0" w:name="Table Web 2"/>
    <w:lsdException w:qFormat="1" w:unhideWhenUsed="0" w:uiPriority="0" w:semiHidden="0" w:name="Table Web 3"/>
    <w:lsdException w:uiPriority="0" w:semiHidden="0" w:name="Balloon Text"/>
    <w:lsdException w:qFormat="1" w:unhideWhenUsed="0" w:uiPriority="59" w:semiHidden="0" w:name="Table Grid"/>
    <w:lsdException w:qFormat="1" w:unhideWhenUsed="0" w:uiPriority="0" w:semiHidden="0" w:name="Table Theme"/>
    <w:lsdException w:qFormat="1" w:unhideWhenUsed="0" w:uiPriority="99" w:name="Placeholder Text"/>
    <w:lsdException w:qFormat="1" w:unhideWhenUsed="0" w:uiPriority="1" w:semiHidden="0" w:name="No Spacing"/>
    <w:lsdException w:qFormat="1" w:unhideWhenUsed="0" w:uiPriority="0" w:semiHidden="0" w:name="List Paragraph"/>
    <w:lsdException w:qFormat="1" w:unhideWhenUsed="0" w:uiPriority="29" w:semiHidden="0" w:name="Quote"/>
    <w:lsdException w:qFormat="1" w:unhideWhenUsed="0" w:uiPriority="30" w:semiHidden="0" w:name="Intense Quote"/>
    <w:lsdException w:qFormat="1" w:unhideWhenUsed="0" w:uiPriority="64" w:semiHidden="0" w:name="Medium Shading 2 Accent 5"/>
  </w:latentStyles>
  <w:style w:type="paragraph" w:default="1" w:styleId="1">
    <w:name w:val="Normal"/>
    <w:qFormat/>
    <w:uiPriority w:val="0"/>
    <w:pPr>
      <w:spacing w:after="200" w:line="276" w:lineRule="auto"/>
    </w:pPr>
    <w:rPr>
      <w:rFonts w:ascii="Times New Roman" w:hAnsi="Times New Roman" w:eastAsia="Calibri" w:cs="Times New Roman"/>
      <w:kern w:val="2"/>
      <w:sz w:val="24"/>
      <w:szCs w:val="24"/>
      <w:lang w:val="ru-RU" w:eastAsia="en-US" w:bidi="ar-SA"/>
    </w:rPr>
  </w:style>
  <w:style w:type="paragraph" w:styleId="2">
    <w:name w:val="heading 1"/>
    <w:basedOn w:val="1"/>
    <w:next w:val="1"/>
    <w:link w:val="141"/>
    <w:qFormat/>
    <w:uiPriority w:val="0"/>
    <w:pPr>
      <w:keepNext/>
      <w:spacing w:before="240" w:after="60" w:line="240" w:lineRule="auto"/>
      <w:outlineLvl w:val="0"/>
    </w:pPr>
    <w:rPr>
      <w:rFonts w:ascii="Arial" w:hAnsi="Arial" w:eastAsia="Times New Roman"/>
      <w:b/>
      <w:bCs/>
      <w:kern w:val="32"/>
      <w:sz w:val="32"/>
      <w:szCs w:val="32"/>
      <w:lang w:eastAsia="ru-RU"/>
    </w:rPr>
  </w:style>
  <w:style w:type="paragraph" w:styleId="3">
    <w:name w:val="heading 2"/>
    <w:basedOn w:val="1"/>
    <w:next w:val="1"/>
    <w:link w:val="142"/>
    <w:qFormat/>
    <w:uiPriority w:val="0"/>
    <w:pPr>
      <w:keepNext/>
      <w:spacing w:before="240" w:after="60" w:line="240" w:lineRule="auto"/>
      <w:outlineLvl w:val="1"/>
    </w:pPr>
    <w:rPr>
      <w:rFonts w:ascii="Arial" w:hAnsi="Arial" w:eastAsia="Times New Roman"/>
      <w:b/>
      <w:bCs/>
      <w:i/>
      <w:iCs/>
      <w:kern w:val="0"/>
      <w:sz w:val="28"/>
      <w:szCs w:val="28"/>
      <w:lang w:eastAsia="ru-RU"/>
    </w:rPr>
  </w:style>
  <w:style w:type="paragraph" w:styleId="4">
    <w:name w:val="heading 3"/>
    <w:basedOn w:val="1"/>
    <w:next w:val="1"/>
    <w:link w:val="143"/>
    <w:unhideWhenUsed/>
    <w:qFormat/>
    <w:uiPriority w:val="0"/>
    <w:pPr>
      <w:keepNext/>
      <w:keepLines/>
      <w:spacing w:before="200" w:after="0"/>
      <w:outlineLvl w:val="2"/>
    </w:pPr>
    <w:rPr>
      <w:rFonts w:ascii="Cambria" w:hAnsi="Cambria" w:eastAsia="Times New Roman"/>
      <w:b/>
      <w:bCs/>
      <w:color w:val="4F81BD"/>
      <w:kern w:val="0"/>
      <w:sz w:val="20"/>
      <w:szCs w:val="20"/>
    </w:rPr>
  </w:style>
  <w:style w:type="paragraph" w:styleId="5">
    <w:name w:val="heading 4"/>
    <w:basedOn w:val="1"/>
    <w:next w:val="1"/>
    <w:link w:val="144"/>
    <w:qFormat/>
    <w:uiPriority w:val="0"/>
    <w:pPr>
      <w:keepNext/>
      <w:spacing w:before="240" w:after="60" w:line="240" w:lineRule="auto"/>
      <w:outlineLvl w:val="3"/>
    </w:pPr>
    <w:rPr>
      <w:rFonts w:ascii="Calibri" w:hAnsi="Calibri" w:eastAsia="Times New Roman"/>
      <w:b/>
      <w:bCs/>
      <w:kern w:val="0"/>
      <w:sz w:val="28"/>
      <w:szCs w:val="28"/>
      <w:lang w:eastAsia="ru-RU"/>
    </w:rPr>
  </w:style>
  <w:style w:type="paragraph" w:styleId="6">
    <w:name w:val="heading 5"/>
    <w:basedOn w:val="1"/>
    <w:next w:val="1"/>
    <w:link w:val="145"/>
    <w:unhideWhenUsed/>
    <w:qFormat/>
    <w:uiPriority w:val="0"/>
    <w:pPr>
      <w:keepNext/>
      <w:keepLines/>
      <w:spacing w:before="200" w:after="0"/>
      <w:outlineLvl w:val="4"/>
    </w:pPr>
    <w:rPr>
      <w:rFonts w:ascii="Cambria" w:hAnsi="Cambria" w:eastAsia="Times New Roman"/>
      <w:color w:val="243F60"/>
      <w:kern w:val="0"/>
      <w:sz w:val="20"/>
      <w:szCs w:val="20"/>
    </w:rPr>
  </w:style>
  <w:style w:type="paragraph" w:styleId="7">
    <w:name w:val="heading 6"/>
    <w:basedOn w:val="1"/>
    <w:next w:val="1"/>
    <w:link w:val="381"/>
    <w:qFormat/>
    <w:uiPriority w:val="0"/>
    <w:pPr>
      <w:spacing w:before="240" w:after="60" w:line="240" w:lineRule="auto"/>
      <w:ind w:firstLine="567"/>
      <w:outlineLvl w:val="5"/>
    </w:pPr>
    <w:rPr>
      <w:rFonts w:eastAsia="Times New Roman"/>
      <w:b/>
      <w:bCs/>
      <w:kern w:val="0"/>
      <w:sz w:val="22"/>
      <w:szCs w:val="22"/>
      <w:lang w:eastAsia="ru-RU"/>
    </w:rPr>
  </w:style>
  <w:style w:type="paragraph" w:styleId="8">
    <w:name w:val="heading 7"/>
    <w:basedOn w:val="1"/>
    <w:next w:val="1"/>
    <w:link w:val="294"/>
    <w:unhideWhenUsed/>
    <w:qFormat/>
    <w:uiPriority w:val="0"/>
    <w:pPr>
      <w:spacing w:before="240" w:after="60" w:line="240" w:lineRule="auto"/>
      <w:outlineLvl w:val="6"/>
    </w:pPr>
    <w:rPr>
      <w:rFonts w:ascii="Calibri" w:hAnsi="Calibri" w:eastAsia="Times New Roman"/>
      <w:kern w:val="0"/>
    </w:rPr>
  </w:style>
  <w:style w:type="paragraph" w:styleId="9">
    <w:name w:val="heading 8"/>
    <w:basedOn w:val="1"/>
    <w:next w:val="1"/>
    <w:link w:val="322"/>
    <w:qFormat/>
    <w:uiPriority w:val="0"/>
    <w:pPr>
      <w:spacing w:before="240" w:after="60" w:line="240" w:lineRule="auto"/>
      <w:outlineLvl w:val="7"/>
    </w:pPr>
    <w:rPr>
      <w:rFonts w:eastAsia="Times New Roman"/>
      <w:i/>
      <w:iCs/>
      <w:kern w:val="0"/>
      <w:lang w:val="en-US" w:eastAsia="ru-RU"/>
    </w:rPr>
  </w:style>
  <w:style w:type="paragraph" w:styleId="10">
    <w:name w:val="heading 9"/>
    <w:basedOn w:val="1"/>
    <w:next w:val="1"/>
    <w:link w:val="382"/>
    <w:qFormat/>
    <w:uiPriority w:val="0"/>
    <w:pPr>
      <w:spacing w:before="240" w:after="60" w:line="240" w:lineRule="auto"/>
      <w:ind w:firstLine="567"/>
      <w:outlineLvl w:val="8"/>
    </w:pPr>
    <w:rPr>
      <w:rFonts w:ascii="Arial" w:hAnsi="Arial" w:eastAsia="Times New Roman" w:cs="Arial"/>
      <w:kern w:val="0"/>
      <w:sz w:val="22"/>
      <w:szCs w:val="22"/>
      <w:lang w:eastAsia="ru-RU"/>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TML Sample"/>
    <w:qFormat/>
    <w:uiPriority w:val="0"/>
    <w:rPr>
      <w:rFonts w:ascii="Courier New" w:hAnsi="Courier New" w:cs="Courier New"/>
      <w:lang w:val="ru-RU"/>
    </w:rPr>
  </w:style>
  <w:style w:type="character" w:styleId="14">
    <w:name w:val="FollowedHyperlink"/>
    <w:unhideWhenUsed/>
    <w:qFormat/>
    <w:uiPriority w:val="99"/>
    <w:rPr>
      <w:color w:val="800080"/>
      <w:u w:val="single"/>
    </w:rPr>
  </w:style>
  <w:style w:type="character" w:styleId="15">
    <w:name w:val="footnote reference"/>
    <w:qFormat/>
    <w:uiPriority w:val="99"/>
    <w:rPr>
      <w:vertAlign w:val="superscript"/>
    </w:rPr>
  </w:style>
  <w:style w:type="character" w:styleId="16">
    <w:name w:val="annotation reference"/>
    <w:unhideWhenUsed/>
    <w:qFormat/>
    <w:uiPriority w:val="0"/>
    <w:rPr>
      <w:sz w:val="16"/>
      <w:szCs w:val="16"/>
    </w:rPr>
  </w:style>
  <w:style w:type="character" w:styleId="17">
    <w:name w:val="endnote reference"/>
    <w:unhideWhenUsed/>
    <w:qFormat/>
    <w:uiPriority w:val="0"/>
    <w:rPr>
      <w:vertAlign w:val="superscript"/>
    </w:rPr>
  </w:style>
  <w:style w:type="character" w:styleId="18">
    <w:name w:val="HTML Acronym"/>
    <w:qFormat/>
    <w:uiPriority w:val="0"/>
    <w:rPr>
      <w:lang w:val="ru-RU"/>
    </w:rPr>
  </w:style>
  <w:style w:type="character" w:styleId="19">
    <w:name w:val="Emphasis"/>
    <w:qFormat/>
    <w:uiPriority w:val="0"/>
    <w:rPr>
      <w:i/>
      <w:iCs/>
    </w:rPr>
  </w:style>
  <w:style w:type="character" w:styleId="20">
    <w:name w:val="Hyperlink"/>
    <w:qFormat/>
    <w:uiPriority w:val="99"/>
    <w:rPr>
      <w:color w:val="0000FF"/>
      <w:u w:val="single"/>
    </w:rPr>
  </w:style>
  <w:style w:type="character" w:styleId="21">
    <w:name w:val="HTML Keyboard"/>
    <w:qFormat/>
    <w:uiPriority w:val="0"/>
    <w:rPr>
      <w:rFonts w:ascii="Courier New" w:hAnsi="Courier New" w:cs="Courier New"/>
      <w:sz w:val="20"/>
      <w:szCs w:val="20"/>
      <w:lang w:val="ru-RU"/>
    </w:rPr>
  </w:style>
  <w:style w:type="character" w:styleId="22">
    <w:name w:val="HTML Code"/>
    <w:qFormat/>
    <w:uiPriority w:val="0"/>
    <w:rPr>
      <w:rFonts w:ascii="Courier New" w:hAnsi="Courier New" w:cs="Courier New"/>
      <w:sz w:val="20"/>
      <w:szCs w:val="20"/>
      <w:lang w:val="ru-RU"/>
    </w:rPr>
  </w:style>
  <w:style w:type="character" w:styleId="23">
    <w:name w:val="page number"/>
    <w:basedOn w:val="11"/>
    <w:qFormat/>
    <w:uiPriority w:val="0"/>
  </w:style>
  <w:style w:type="character" w:styleId="24">
    <w:name w:val="line number"/>
    <w:qFormat/>
    <w:uiPriority w:val="0"/>
    <w:rPr>
      <w:sz w:val="18"/>
      <w:szCs w:val="18"/>
    </w:rPr>
  </w:style>
  <w:style w:type="character" w:styleId="25">
    <w:name w:val="HTML Definition"/>
    <w:qFormat/>
    <w:uiPriority w:val="0"/>
    <w:rPr>
      <w:i/>
      <w:iCs/>
      <w:lang w:val="ru-RU"/>
    </w:rPr>
  </w:style>
  <w:style w:type="character" w:styleId="26">
    <w:name w:val="HTML Variable"/>
    <w:qFormat/>
    <w:uiPriority w:val="0"/>
    <w:rPr>
      <w:i/>
      <w:iCs/>
      <w:lang w:val="ru-RU"/>
    </w:rPr>
  </w:style>
  <w:style w:type="character" w:styleId="27">
    <w:name w:val="HTML Typewriter"/>
    <w:qFormat/>
    <w:uiPriority w:val="0"/>
    <w:rPr>
      <w:rFonts w:ascii="Courier New" w:hAnsi="Courier New" w:cs="Courier New"/>
      <w:sz w:val="20"/>
      <w:szCs w:val="20"/>
      <w:lang w:val="ru-RU"/>
    </w:rPr>
  </w:style>
  <w:style w:type="character" w:styleId="28">
    <w:name w:val="Strong"/>
    <w:qFormat/>
    <w:uiPriority w:val="0"/>
    <w:rPr>
      <w:b/>
      <w:bCs/>
    </w:rPr>
  </w:style>
  <w:style w:type="character" w:styleId="29">
    <w:name w:val="HTML Cite"/>
    <w:qFormat/>
    <w:uiPriority w:val="0"/>
    <w:rPr>
      <w:i/>
      <w:iCs/>
      <w:lang w:val="ru-RU"/>
    </w:rPr>
  </w:style>
  <w:style w:type="paragraph" w:styleId="30">
    <w:name w:val="Balloon Text"/>
    <w:basedOn w:val="1"/>
    <w:link w:val="154"/>
    <w:unhideWhenUsed/>
    <w:uiPriority w:val="0"/>
    <w:pPr>
      <w:spacing w:after="0" w:line="240" w:lineRule="auto"/>
    </w:pPr>
    <w:rPr>
      <w:rFonts w:ascii="Tahoma" w:hAnsi="Tahoma"/>
      <w:kern w:val="0"/>
      <w:sz w:val="16"/>
      <w:szCs w:val="16"/>
    </w:rPr>
  </w:style>
  <w:style w:type="paragraph" w:styleId="31">
    <w:name w:val="List 5"/>
    <w:basedOn w:val="32"/>
    <w:uiPriority w:val="0"/>
    <w:pPr>
      <w:spacing w:before="0" w:beforeAutospacing="0" w:after="240" w:afterAutospacing="0" w:line="240" w:lineRule="atLeast"/>
      <w:ind w:left="2880" w:hanging="360"/>
      <w:jc w:val="both"/>
    </w:pPr>
    <w:rPr>
      <w:rFonts w:ascii="Arial" w:hAnsi="Arial" w:cs="Arial"/>
      <w:spacing w:val="-5"/>
      <w:sz w:val="20"/>
      <w:szCs w:val="20"/>
      <w:lang w:eastAsia="en-US"/>
    </w:rPr>
  </w:style>
  <w:style w:type="paragraph" w:styleId="32">
    <w:name w:val="List"/>
    <w:basedOn w:val="1"/>
    <w:link w:val="383"/>
    <w:qFormat/>
    <w:uiPriority w:val="0"/>
    <w:pPr>
      <w:spacing w:before="100" w:beforeAutospacing="1" w:after="100" w:afterAutospacing="1" w:line="240" w:lineRule="auto"/>
    </w:pPr>
    <w:rPr>
      <w:rFonts w:eastAsia="Times New Roman"/>
      <w:kern w:val="0"/>
      <w:lang w:eastAsia="ru-RU"/>
    </w:rPr>
  </w:style>
  <w:style w:type="paragraph" w:styleId="33">
    <w:name w:val="List Continue"/>
    <w:basedOn w:val="32"/>
    <w:uiPriority w:val="0"/>
    <w:pPr>
      <w:spacing w:before="0" w:beforeAutospacing="0" w:after="240" w:afterAutospacing="0" w:line="240" w:lineRule="atLeast"/>
      <w:ind w:left="1440"/>
      <w:jc w:val="both"/>
    </w:pPr>
    <w:rPr>
      <w:rFonts w:ascii="Arial" w:hAnsi="Arial" w:cs="Arial"/>
      <w:spacing w:val="-5"/>
      <w:sz w:val="20"/>
      <w:szCs w:val="20"/>
      <w:lang w:eastAsia="en-US"/>
    </w:rPr>
  </w:style>
  <w:style w:type="paragraph" w:styleId="34">
    <w:name w:val="Body Text 2"/>
    <w:basedOn w:val="1"/>
    <w:link w:val="192"/>
    <w:qFormat/>
    <w:uiPriority w:val="0"/>
    <w:pPr>
      <w:spacing w:after="120" w:line="480" w:lineRule="auto"/>
    </w:pPr>
    <w:rPr>
      <w:rFonts w:eastAsia="Times New Roman"/>
      <w:kern w:val="0"/>
      <w:sz w:val="20"/>
      <w:szCs w:val="20"/>
      <w:lang w:eastAsia="ru-RU"/>
    </w:rPr>
  </w:style>
  <w:style w:type="paragraph" w:styleId="35">
    <w:name w:val="List Number 5"/>
    <w:basedOn w:val="36"/>
    <w:uiPriority w:val="0"/>
    <w:pPr>
      <w:spacing w:before="0" w:beforeAutospacing="0" w:after="240" w:afterAutospacing="0" w:line="240" w:lineRule="atLeast"/>
      <w:ind w:left="2880" w:hanging="360"/>
    </w:pPr>
    <w:rPr>
      <w:rFonts w:ascii="Arial" w:hAnsi="Arial" w:cs="Arial"/>
      <w:spacing w:val="-5"/>
      <w:sz w:val="20"/>
      <w:szCs w:val="20"/>
      <w:lang w:eastAsia="en-US"/>
    </w:rPr>
  </w:style>
  <w:style w:type="paragraph" w:styleId="36">
    <w:name w:val="List Number"/>
    <w:basedOn w:val="1"/>
    <w:uiPriority w:val="0"/>
    <w:pPr>
      <w:spacing w:before="100" w:beforeAutospacing="1" w:after="100" w:afterAutospacing="1" w:line="360" w:lineRule="auto"/>
      <w:ind w:firstLine="709"/>
      <w:jc w:val="both"/>
    </w:pPr>
    <w:rPr>
      <w:rFonts w:eastAsia="Times New Roman"/>
      <w:kern w:val="0"/>
      <w:sz w:val="28"/>
      <w:szCs w:val="28"/>
      <w:lang w:eastAsia="ru-RU"/>
    </w:rPr>
  </w:style>
  <w:style w:type="paragraph" w:styleId="37">
    <w:name w:val="Closing"/>
    <w:basedOn w:val="1"/>
    <w:link w:val="762"/>
    <w:uiPriority w:val="0"/>
    <w:pPr>
      <w:spacing w:after="0" w:line="360" w:lineRule="auto"/>
      <w:ind w:left="4252" w:firstLine="709"/>
      <w:jc w:val="both"/>
    </w:pPr>
    <w:rPr>
      <w:rFonts w:ascii="Arial" w:hAnsi="Arial" w:eastAsia="Times New Roman"/>
      <w:spacing w:val="-5"/>
      <w:kern w:val="0"/>
      <w:sz w:val="20"/>
      <w:szCs w:val="20"/>
    </w:rPr>
  </w:style>
  <w:style w:type="paragraph" w:styleId="38">
    <w:name w:val="Normal Indent"/>
    <w:basedOn w:val="1"/>
    <w:link w:val="488"/>
    <w:qFormat/>
    <w:uiPriority w:val="0"/>
    <w:pPr>
      <w:spacing w:after="0" w:line="240" w:lineRule="auto"/>
      <w:ind w:left="708"/>
    </w:pPr>
    <w:rPr>
      <w:rFonts w:ascii="Arial" w:hAnsi="Arial" w:eastAsia="Times New Roman"/>
      <w:kern w:val="0"/>
    </w:rPr>
  </w:style>
  <w:style w:type="paragraph" w:styleId="39">
    <w:name w:val="envelope return"/>
    <w:basedOn w:val="1"/>
    <w:uiPriority w:val="0"/>
    <w:pPr>
      <w:spacing w:after="0" w:line="360" w:lineRule="auto"/>
      <w:ind w:left="1080" w:firstLine="709"/>
      <w:jc w:val="both"/>
    </w:pPr>
    <w:rPr>
      <w:rFonts w:ascii="Arial" w:hAnsi="Arial" w:eastAsia="Times New Roman" w:cs="Arial"/>
      <w:spacing w:val="-5"/>
      <w:kern w:val="0"/>
      <w:sz w:val="20"/>
      <w:szCs w:val="20"/>
    </w:rPr>
  </w:style>
  <w:style w:type="paragraph" w:styleId="40">
    <w:name w:val="Plain Text"/>
    <w:basedOn w:val="1"/>
    <w:link w:val="191"/>
    <w:qFormat/>
    <w:uiPriority w:val="0"/>
    <w:pPr>
      <w:spacing w:after="0" w:line="240" w:lineRule="auto"/>
    </w:pPr>
    <w:rPr>
      <w:rFonts w:ascii="Courier New" w:hAnsi="Courier New" w:eastAsia="Times New Roman"/>
      <w:kern w:val="0"/>
      <w:sz w:val="20"/>
      <w:szCs w:val="20"/>
      <w:lang w:eastAsia="ru-RU"/>
    </w:rPr>
  </w:style>
  <w:style w:type="paragraph" w:styleId="41">
    <w:name w:val="Body Text Indent 3"/>
    <w:basedOn w:val="1"/>
    <w:link w:val="169"/>
    <w:unhideWhenUsed/>
    <w:uiPriority w:val="0"/>
    <w:pPr>
      <w:spacing w:after="120"/>
      <w:ind w:left="283"/>
    </w:pPr>
    <w:rPr>
      <w:kern w:val="0"/>
      <w:sz w:val="16"/>
      <w:szCs w:val="16"/>
    </w:rPr>
  </w:style>
  <w:style w:type="paragraph" w:styleId="42">
    <w:name w:val="endnote text"/>
    <w:basedOn w:val="1"/>
    <w:link w:val="414"/>
    <w:unhideWhenUsed/>
    <w:qFormat/>
    <w:uiPriority w:val="0"/>
    <w:pPr>
      <w:spacing w:after="0" w:line="240" w:lineRule="auto"/>
    </w:pPr>
    <w:rPr>
      <w:sz w:val="20"/>
      <w:szCs w:val="20"/>
    </w:rPr>
  </w:style>
  <w:style w:type="paragraph" w:styleId="43">
    <w:name w:val="caption"/>
    <w:basedOn w:val="1"/>
    <w:next w:val="1"/>
    <w:link w:val="317"/>
    <w:unhideWhenUsed/>
    <w:qFormat/>
    <w:uiPriority w:val="35"/>
    <w:pPr>
      <w:spacing w:line="240" w:lineRule="auto"/>
    </w:pPr>
    <w:rPr>
      <w:b/>
      <w:bCs/>
      <w:color w:val="4F81BD"/>
      <w:sz w:val="18"/>
      <w:szCs w:val="18"/>
    </w:rPr>
  </w:style>
  <w:style w:type="paragraph" w:styleId="44">
    <w:name w:val="annotation text"/>
    <w:basedOn w:val="1"/>
    <w:link w:val="152"/>
    <w:unhideWhenUsed/>
    <w:uiPriority w:val="0"/>
    <w:pPr>
      <w:spacing w:line="240" w:lineRule="auto"/>
    </w:pPr>
    <w:rPr>
      <w:kern w:val="0"/>
      <w:sz w:val="20"/>
      <w:szCs w:val="20"/>
    </w:rPr>
  </w:style>
  <w:style w:type="paragraph" w:styleId="45">
    <w:name w:val="index 1"/>
    <w:basedOn w:val="1"/>
    <w:next w:val="1"/>
    <w:uiPriority w:val="0"/>
    <w:pPr>
      <w:spacing w:after="0" w:line="240" w:lineRule="auto"/>
      <w:ind w:left="200" w:hanging="200"/>
    </w:pPr>
    <w:rPr>
      <w:rFonts w:eastAsia="Times New Roman"/>
      <w:kern w:val="0"/>
      <w:sz w:val="20"/>
      <w:szCs w:val="20"/>
      <w:lang w:eastAsia="ru-RU"/>
    </w:rPr>
  </w:style>
  <w:style w:type="paragraph" w:styleId="46">
    <w:name w:val="annotation subject"/>
    <w:basedOn w:val="44"/>
    <w:next w:val="44"/>
    <w:link w:val="153"/>
    <w:unhideWhenUsed/>
    <w:uiPriority w:val="0"/>
    <w:rPr>
      <w:b/>
      <w:bCs/>
    </w:rPr>
  </w:style>
  <w:style w:type="paragraph" w:styleId="47">
    <w:name w:val="Document Map"/>
    <w:basedOn w:val="1"/>
    <w:link w:val="146"/>
    <w:unhideWhenUsed/>
    <w:uiPriority w:val="0"/>
    <w:pPr>
      <w:spacing w:after="0" w:line="240" w:lineRule="auto"/>
    </w:pPr>
    <w:rPr>
      <w:rFonts w:ascii="Tahoma" w:hAnsi="Tahoma"/>
      <w:kern w:val="0"/>
      <w:sz w:val="16"/>
      <w:szCs w:val="16"/>
    </w:rPr>
  </w:style>
  <w:style w:type="paragraph" w:styleId="48">
    <w:name w:val="footnote text"/>
    <w:basedOn w:val="1"/>
    <w:link w:val="171"/>
    <w:uiPriority w:val="99"/>
    <w:pPr>
      <w:spacing w:after="0" w:line="240" w:lineRule="auto"/>
    </w:pPr>
    <w:rPr>
      <w:rFonts w:eastAsia="Times New Roman"/>
      <w:kern w:val="0"/>
      <w:sz w:val="20"/>
      <w:szCs w:val="20"/>
      <w:lang w:eastAsia="ru-RU"/>
    </w:rPr>
  </w:style>
  <w:style w:type="paragraph" w:styleId="49">
    <w:name w:val="toc 8"/>
    <w:basedOn w:val="1"/>
    <w:next w:val="1"/>
    <w:unhideWhenUsed/>
    <w:uiPriority w:val="39"/>
    <w:pPr>
      <w:spacing w:after="100"/>
      <w:ind w:left="1540"/>
    </w:pPr>
    <w:rPr>
      <w:rFonts w:eastAsia="Times New Roman"/>
      <w:lang w:eastAsia="ru-RU"/>
    </w:rPr>
  </w:style>
  <w:style w:type="paragraph" w:styleId="50">
    <w:name w:val="List Number 3"/>
    <w:basedOn w:val="36"/>
    <w:uiPriority w:val="0"/>
    <w:pPr>
      <w:tabs>
        <w:tab w:val="left" w:pos="720"/>
      </w:tabs>
      <w:spacing w:before="0" w:beforeAutospacing="0" w:after="240" w:afterAutospacing="0" w:line="240" w:lineRule="atLeast"/>
      <w:ind w:left="2160"/>
    </w:pPr>
    <w:rPr>
      <w:rFonts w:ascii="Arial" w:hAnsi="Arial" w:cs="Arial"/>
      <w:spacing w:val="-5"/>
      <w:sz w:val="20"/>
      <w:szCs w:val="20"/>
      <w:lang w:eastAsia="en-US"/>
    </w:rPr>
  </w:style>
  <w:style w:type="paragraph" w:styleId="51">
    <w:name w:val="HTML Address"/>
    <w:basedOn w:val="1"/>
    <w:link w:val="757"/>
    <w:uiPriority w:val="0"/>
    <w:pPr>
      <w:spacing w:after="0" w:line="360" w:lineRule="auto"/>
      <w:ind w:left="1080" w:firstLine="709"/>
      <w:jc w:val="both"/>
    </w:pPr>
    <w:rPr>
      <w:rFonts w:ascii="Arial" w:hAnsi="Arial" w:eastAsia="Times New Roman"/>
      <w:i/>
      <w:iCs/>
      <w:spacing w:val="-5"/>
      <w:kern w:val="0"/>
      <w:sz w:val="20"/>
      <w:szCs w:val="20"/>
    </w:rPr>
  </w:style>
  <w:style w:type="paragraph" w:styleId="52">
    <w:name w:val="header"/>
    <w:basedOn w:val="1"/>
    <w:link w:val="149"/>
    <w:unhideWhenUsed/>
    <w:uiPriority w:val="0"/>
    <w:pPr>
      <w:tabs>
        <w:tab w:val="center" w:pos="4677"/>
        <w:tab w:val="right" w:pos="9355"/>
      </w:tabs>
      <w:spacing w:after="0" w:line="240" w:lineRule="auto"/>
    </w:pPr>
  </w:style>
  <w:style w:type="paragraph" w:styleId="53">
    <w:name w:val="toc 9"/>
    <w:basedOn w:val="1"/>
    <w:next w:val="1"/>
    <w:unhideWhenUsed/>
    <w:uiPriority w:val="39"/>
    <w:pPr>
      <w:spacing w:after="100"/>
      <w:ind w:left="1760"/>
    </w:pPr>
    <w:rPr>
      <w:rFonts w:eastAsia="Times New Roman"/>
      <w:lang w:eastAsia="ru-RU"/>
    </w:rPr>
  </w:style>
  <w:style w:type="paragraph" w:styleId="54">
    <w:name w:val="toc 7"/>
    <w:basedOn w:val="1"/>
    <w:next w:val="1"/>
    <w:unhideWhenUsed/>
    <w:uiPriority w:val="39"/>
    <w:pPr>
      <w:spacing w:after="100"/>
      <w:ind w:left="1320"/>
    </w:pPr>
    <w:rPr>
      <w:rFonts w:eastAsia="Times New Roman"/>
      <w:lang w:eastAsia="ru-RU"/>
    </w:rPr>
  </w:style>
  <w:style w:type="paragraph" w:styleId="55">
    <w:name w:val="envelope address"/>
    <w:basedOn w:val="1"/>
    <w:uiPriority w:val="0"/>
    <w:pPr>
      <w:framePr w:w="7920" w:h="1980" w:hRule="exact" w:hSpace="180" w:wrap="around" w:vAnchor="margin" w:hAnchor="page" w:xAlign="center" w:yAlign="bottom"/>
      <w:spacing w:after="0" w:line="360" w:lineRule="auto"/>
      <w:ind w:left="2880" w:firstLine="709"/>
      <w:jc w:val="both"/>
    </w:pPr>
    <w:rPr>
      <w:rFonts w:ascii="Arial" w:hAnsi="Arial" w:eastAsia="Times New Roman" w:cs="Arial"/>
      <w:spacing w:val="-5"/>
      <w:kern w:val="0"/>
      <w:sz w:val="28"/>
      <w:szCs w:val="28"/>
    </w:rPr>
  </w:style>
  <w:style w:type="paragraph" w:styleId="56">
    <w:name w:val="Body Text"/>
    <w:basedOn w:val="1"/>
    <w:link w:val="157"/>
    <w:uiPriority w:val="99"/>
    <w:pPr>
      <w:widowControl w:val="0"/>
      <w:spacing w:after="0" w:line="240" w:lineRule="auto"/>
      <w:jc w:val="center"/>
    </w:pPr>
    <w:rPr>
      <w:rFonts w:eastAsia="Times New Roman"/>
      <w:b/>
      <w:snapToGrid w:val="0"/>
      <w:kern w:val="0"/>
      <w:sz w:val="28"/>
      <w:szCs w:val="20"/>
      <w:lang w:eastAsia="ru-RU"/>
    </w:rPr>
  </w:style>
  <w:style w:type="paragraph" w:styleId="57">
    <w:name w:val="List Number 4"/>
    <w:basedOn w:val="36"/>
    <w:qFormat/>
    <w:uiPriority w:val="0"/>
    <w:pPr>
      <w:spacing w:before="0" w:beforeAutospacing="0" w:after="240" w:afterAutospacing="0" w:line="240" w:lineRule="atLeast"/>
      <w:ind w:left="2520" w:hanging="360"/>
    </w:pPr>
    <w:rPr>
      <w:rFonts w:ascii="Arial" w:hAnsi="Arial" w:cs="Arial"/>
      <w:spacing w:val="-5"/>
      <w:sz w:val="20"/>
      <w:szCs w:val="20"/>
      <w:lang w:eastAsia="en-US"/>
    </w:rPr>
  </w:style>
  <w:style w:type="paragraph" w:styleId="58">
    <w:name w:val="toa heading"/>
    <w:basedOn w:val="1"/>
    <w:next w:val="1"/>
    <w:semiHidden/>
    <w:qFormat/>
    <w:uiPriority w:val="0"/>
    <w:pPr>
      <w:spacing w:before="40" w:after="20" w:line="240" w:lineRule="auto"/>
      <w:jc w:val="center"/>
    </w:pPr>
    <w:rPr>
      <w:rFonts w:eastAsia="Times New Roman"/>
      <w:b/>
      <w:kern w:val="0"/>
      <w:sz w:val="22"/>
      <w:szCs w:val="20"/>
      <w:lang w:eastAsia="ru-RU"/>
    </w:rPr>
  </w:style>
  <w:style w:type="paragraph" w:styleId="59">
    <w:name w:val="index heading"/>
    <w:basedOn w:val="1"/>
    <w:next w:val="45"/>
    <w:uiPriority w:val="0"/>
    <w:pPr>
      <w:widowControl w:val="0"/>
      <w:suppressAutoHyphens/>
      <w:spacing w:after="0" w:line="240" w:lineRule="auto"/>
    </w:pPr>
    <w:rPr>
      <w:rFonts w:ascii="Arial" w:hAnsi="Arial" w:eastAsia="Arial Unicode MS"/>
      <w:kern w:val="0"/>
    </w:rPr>
  </w:style>
  <w:style w:type="paragraph" w:styleId="60">
    <w:name w:val="toc 1"/>
    <w:basedOn w:val="1"/>
    <w:next w:val="1"/>
    <w:uiPriority w:val="39"/>
    <w:pPr>
      <w:tabs>
        <w:tab w:val="right" w:leader="dot" w:pos="9345"/>
      </w:tabs>
      <w:spacing w:after="0" w:line="360" w:lineRule="auto"/>
      <w:ind w:left="284" w:hanging="284"/>
      <w:jc w:val="both"/>
    </w:pPr>
    <w:rPr>
      <w:rFonts w:eastAsia="Times New Roman"/>
      <w:lang w:eastAsia="ru-RU"/>
    </w:rPr>
  </w:style>
  <w:style w:type="paragraph" w:styleId="61">
    <w:name w:val="toc 6"/>
    <w:basedOn w:val="1"/>
    <w:next w:val="1"/>
    <w:unhideWhenUsed/>
    <w:uiPriority w:val="39"/>
    <w:pPr>
      <w:spacing w:after="100"/>
      <w:ind w:left="1100"/>
    </w:pPr>
    <w:rPr>
      <w:rFonts w:eastAsia="Times New Roman"/>
      <w:lang w:eastAsia="ru-RU"/>
    </w:rPr>
  </w:style>
  <w:style w:type="paragraph" w:styleId="62">
    <w:name w:val="toc 3"/>
    <w:basedOn w:val="1"/>
    <w:next w:val="1"/>
    <w:qFormat/>
    <w:uiPriority w:val="39"/>
    <w:pPr>
      <w:tabs>
        <w:tab w:val="left" w:pos="1134"/>
        <w:tab w:val="right" w:leader="dot" w:pos="9345"/>
      </w:tabs>
      <w:spacing w:after="0" w:line="240" w:lineRule="auto"/>
      <w:ind w:left="1134" w:hanging="654"/>
    </w:pPr>
    <w:rPr>
      <w:rFonts w:eastAsia="Times New Roman"/>
      <w:lang w:eastAsia="ru-RU"/>
    </w:rPr>
  </w:style>
  <w:style w:type="paragraph" w:styleId="63">
    <w:name w:val="toc 2"/>
    <w:basedOn w:val="1"/>
    <w:next w:val="1"/>
    <w:uiPriority w:val="39"/>
    <w:pPr>
      <w:tabs>
        <w:tab w:val="right" w:leader="dot" w:pos="9345"/>
      </w:tabs>
      <w:spacing w:after="0" w:line="240" w:lineRule="auto"/>
      <w:ind w:left="709" w:hanging="469"/>
    </w:pPr>
    <w:rPr>
      <w:rFonts w:eastAsia="Times New Roman"/>
      <w:lang w:eastAsia="ru-RU"/>
    </w:rPr>
  </w:style>
  <w:style w:type="paragraph" w:styleId="64">
    <w:name w:val="toc 4"/>
    <w:basedOn w:val="1"/>
    <w:next w:val="1"/>
    <w:unhideWhenUsed/>
    <w:uiPriority w:val="39"/>
    <w:pPr>
      <w:spacing w:after="100"/>
      <w:ind w:left="660"/>
    </w:pPr>
    <w:rPr>
      <w:rFonts w:eastAsia="Times New Roman"/>
      <w:lang w:eastAsia="ru-RU"/>
    </w:rPr>
  </w:style>
  <w:style w:type="paragraph" w:styleId="65">
    <w:name w:val="toc 5"/>
    <w:basedOn w:val="1"/>
    <w:next w:val="1"/>
    <w:unhideWhenUsed/>
    <w:qFormat/>
    <w:uiPriority w:val="39"/>
    <w:pPr>
      <w:spacing w:after="100"/>
      <w:ind w:left="880"/>
    </w:pPr>
    <w:rPr>
      <w:rFonts w:eastAsia="Times New Roman"/>
      <w:lang w:eastAsia="ru-RU"/>
    </w:rPr>
  </w:style>
  <w:style w:type="paragraph" w:styleId="66">
    <w:name w:val="Note Heading"/>
    <w:basedOn w:val="1"/>
    <w:next w:val="1"/>
    <w:link w:val="759"/>
    <w:uiPriority w:val="0"/>
    <w:pPr>
      <w:spacing w:after="0" w:line="360" w:lineRule="auto"/>
      <w:ind w:left="1080" w:firstLine="709"/>
      <w:jc w:val="both"/>
    </w:pPr>
    <w:rPr>
      <w:rFonts w:ascii="Arial" w:hAnsi="Arial" w:eastAsia="Times New Roman"/>
      <w:spacing w:val="-5"/>
      <w:kern w:val="0"/>
      <w:sz w:val="20"/>
      <w:szCs w:val="20"/>
    </w:rPr>
  </w:style>
  <w:style w:type="paragraph" w:styleId="67">
    <w:name w:val="Date"/>
    <w:basedOn w:val="1"/>
    <w:next w:val="1"/>
    <w:link w:val="758"/>
    <w:qFormat/>
    <w:uiPriority w:val="0"/>
    <w:pPr>
      <w:spacing w:after="0" w:line="360" w:lineRule="auto"/>
      <w:ind w:left="1080" w:firstLine="709"/>
      <w:jc w:val="both"/>
    </w:pPr>
    <w:rPr>
      <w:rFonts w:ascii="Arial" w:hAnsi="Arial" w:eastAsia="Times New Roman"/>
      <w:spacing w:val="-5"/>
      <w:kern w:val="0"/>
      <w:sz w:val="20"/>
      <w:szCs w:val="20"/>
    </w:rPr>
  </w:style>
  <w:style w:type="paragraph" w:styleId="68">
    <w:name w:val="List Bullet 5"/>
    <w:basedOn w:val="69"/>
    <w:qFormat/>
    <w:uiPriority w:val="0"/>
    <w:pPr>
      <w:widowControl/>
      <w:numPr>
        <w:ilvl w:val="0"/>
        <w:numId w:val="0"/>
      </w:numPr>
      <w:tabs>
        <w:tab w:val="left" w:pos="360"/>
      </w:tabs>
      <w:autoSpaceDE/>
      <w:autoSpaceDN/>
      <w:adjustRightInd/>
      <w:spacing w:before="0" w:after="240" w:line="240" w:lineRule="atLeast"/>
      <w:ind w:left="2880" w:hanging="360"/>
    </w:pPr>
    <w:rPr>
      <w:rFonts w:ascii="Arial" w:hAnsi="Arial" w:eastAsia="Times New Roman" w:cs="Arial"/>
      <w:spacing w:val="-5"/>
      <w:sz w:val="20"/>
      <w:szCs w:val="20"/>
    </w:rPr>
  </w:style>
  <w:style w:type="paragraph" w:styleId="69">
    <w:name w:val="List Bullet"/>
    <w:basedOn w:val="1"/>
    <w:link w:val="296"/>
    <w:qFormat/>
    <w:uiPriority w:val="99"/>
    <w:pPr>
      <w:widowControl w:val="0"/>
      <w:numPr>
        <w:ilvl w:val="0"/>
        <w:numId w:val="1"/>
      </w:numPr>
      <w:autoSpaceDE w:val="0"/>
      <w:autoSpaceDN w:val="0"/>
      <w:adjustRightInd w:val="0"/>
      <w:spacing w:before="120" w:after="0" w:line="240" w:lineRule="auto"/>
      <w:ind w:left="357" w:hanging="357"/>
      <w:jc w:val="both"/>
    </w:pPr>
    <w:rPr>
      <w:kern w:val="0"/>
      <w:sz w:val="26"/>
      <w:szCs w:val="26"/>
    </w:rPr>
  </w:style>
  <w:style w:type="paragraph" w:styleId="70">
    <w:name w:val="Body Text First Indent"/>
    <w:basedOn w:val="56"/>
    <w:link w:val="196"/>
    <w:qFormat/>
    <w:uiPriority w:val="0"/>
    <w:pPr>
      <w:widowControl/>
      <w:spacing w:after="120"/>
      <w:ind w:firstLine="210"/>
      <w:jc w:val="left"/>
    </w:pPr>
    <w:rPr>
      <w:b w:val="0"/>
      <w:snapToGrid/>
      <w:sz w:val="24"/>
      <w:szCs w:val="24"/>
    </w:rPr>
  </w:style>
  <w:style w:type="paragraph" w:styleId="71">
    <w:name w:val="Body Text First Indent 2"/>
    <w:basedOn w:val="72"/>
    <w:link w:val="590"/>
    <w:uiPriority w:val="0"/>
    <w:pPr>
      <w:spacing w:line="240" w:lineRule="auto"/>
      <w:ind w:firstLine="210"/>
    </w:pPr>
    <w:rPr>
      <w:rFonts w:eastAsia="Times New Roman"/>
      <w:kern w:val="0"/>
      <w:sz w:val="20"/>
      <w:szCs w:val="20"/>
      <w:lang w:eastAsia="ru-RU"/>
    </w:rPr>
  </w:style>
  <w:style w:type="paragraph" w:styleId="72">
    <w:name w:val="Body Text Indent"/>
    <w:basedOn w:val="1"/>
    <w:link w:val="170"/>
    <w:unhideWhenUsed/>
    <w:uiPriority w:val="0"/>
    <w:pPr>
      <w:spacing w:after="120"/>
      <w:ind w:left="283"/>
    </w:pPr>
  </w:style>
  <w:style w:type="paragraph" w:styleId="73">
    <w:name w:val="List Bullet 4"/>
    <w:basedOn w:val="69"/>
    <w:uiPriority w:val="0"/>
    <w:pPr>
      <w:widowControl/>
      <w:numPr>
        <w:ilvl w:val="0"/>
        <w:numId w:val="0"/>
      </w:numPr>
      <w:tabs>
        <w:tab w:val="left" w:pos="360"/>
      </w:tabs>
      <w:autoSpaceDE/>
      <w:autoSpaceDN/>
      <w:adjustRightInd/>
      <w:spacing w:before="0" w:after="240" w:line="240" w:lineRule="atLeast"/>
      <w:ind w:left="2520" w:hanging="360"/>
    </w:pPr>
    <w:rPr>
      <w:rFonts w:ascii="Arial" w:hAnsi="Arial" w:eastAsia="Times New Roman" w:cs="Arial"/>
      <w:spacing w:val="-5"/>
      <w:sz w:val="20"/>
      <w:szCs w:val="20"/>
    </w:rPr>
  </w:style>
  <w:style w:type="paragraph" w:styleId="74">
    <w:name w:val="List Bullet 2"/>
    <w:basedOn w:val="69"/>
    <w:qFormat/>
    <w:uiPriority w:val="0"/>
    <w:pPr>
      <w:widowControl/>
      <w:numPr>
        <w:ilvl w:val="0"/>
        <w:numId w:val="0"/>
      </w:numPr>
      <w:tabs>
        <w:tab w:val="left" w:pos="360"/>
      </w:tabs>
      <w:autoSpaceDE/>
      <w:autoSpaceDN/>
      <w:adjustRightInd/>
      <w:spacing w:before="0" w:after="240" w:line="240" w:lineRule="atLeast"/>
      <w:ind w:left="1800" w:hanging="360"/>
    </w:pPr>
    <w:rPr>
      <w:rFonts w:ascii="Arial" w:hAnsi="Arial" w:eastAsia="Times New Roman" w:cs="Arial"/>
      <w:spacing w:val="-5"/>
      <w:sz w:val="20"/>
      <w:szCs w:val="20"/>
    </w:rPr>
  </w:style>
  <w:style w:type="paragraph" w:styleId="75">
    <w:name w:val="List Bullet 3"/>
    <w:basedOn w:val="69"/>
    <w:qFormat/>
    <w:uiPriority w:val="0"/>
    <w:pPr>
      <w:widowControl/>
      <w:numPr>
        <w:ilvl w:val="0"/>
        <w:numId w:val="0"/>
      </w:numPr>
      <w:tabs>
        <w:tab w:val="left" w:pos="360"/>
      </w:tabs>
      <w:autoSpaceDE/>
      <w:autoSpaceDN/>
      <w:adjustRightInd/>
      <w:spacing w:before="0" w:after="240" w:line="240" w:lineRule="atLeast"/>
      <w:ind w:left="2160" w:hanging="360"/>
    </w:pPr>
    <w:rPr>
      <w:rFonts w:ascii="Arial" w:hAnsi="Arial" w:eastAsia="Times New Roman" w:cs="Arial"/>
      <w:spacing w:val="-5"/>
      <w:sz w:val="20"/>
      <w:szCs w:val="20"/>
    </w:rPr>
  </w:style>
  <w:style w:type="paragraph" w:styleId="76">
    <w:name w:val="Title"/>
    <w:basedOn w:val="1"/>
    <w:next w:val="1"/>
    <w:link w:val="197"/>
    <w:qFormat/>
    <w:uiPriority w:val="0"/>
    <w:pPr>
      <w:spacing w:before="240" w:after="60"/>
      <w:jc w:val="center"/>
      <w:outlineLvl w:val="0"/>
    </w:pPr>
    <w:rPr>
      <w:rFonts w:ascii="Cambria" w:hAnsi="Cambria" w:eastAsia="Times New Roman"/>
      <w:b/>
      <w:bCs/>
      <w:kern w:val="28"/>
      <w:sz w:val="32"/>
      <w:szCs w:val="32"/>
    </w:rPr>
  </w:style>
  <w:style w:type="paragraph" w:styleId="77">
    <w:name w:val="footer"/>
    <w:basedOn w:val="1"/>
    <w:link w:val="150"/>
    <w:unhideWhenUsed/>
    <w:qFormat/>
    <w:uiPriority w:val="0"/>
    <w:pPr>
      <w:tabs>
        <w:tab w:val="center" w:pos="4677"/>
        <w:tab w:val="right" w:pos="9355"/>
      </w:tabs>
      <w:spacing w:after="0" w:line="240" w:lineRule="auto"/>
    </w:pPr>
  </w:style>
  <w:style w:type="paragraph" w:styleId="78">
    <w:name w:val="List Number 2"/>
    <w:basedOn w:val="36"/>
    <w:qFormat/>
    <w:uiPriority w:val="0"/>
    <w:pPr>
      <w:spacing w:before="0" w:beforeAutospacing="0" w:after="240" w:afterAutospacing="0" w:line="240" w:lineRule="atLeast"/>
      <w:ind w:left="1800" w:hanging="360"/>
    </w:pPr>
    <w:rPr>
      <w:rFonts w:ascii="Arial" w:hAnsi="Arial" w:cs="Arial"/>
      <w:spacing w:val="-5"/>
      <w:sz w:val="20"/>
      <w:szCs w:val="20"/>
      <w:lang w:eastAsia="en-US"/>
    </w:rPr>
  </w:style>
  <w:style w:type="paragraph" w:styleId="79">
    <w:name w:val="Normal (Web)"/>
    <w:basedOn w:val="1"/>
    <w:qFormat/>
    <w:uiPriority w:val="0"/>
    <w:pPr>
      <w:spacing w:before="100" w:beforeAutospacing="1" w:after="100" w:afterAutospacing="1" w:line="240" w:lineRule="auto"/>
    </w:pPr>
    <w:rPr>
      <w:rFonts w:eastAsia="Times New Roman"/>
      <w:kern w:val="0"/>
      <w:lang w:eastAsia="ru-RU"/>
    </w:rPr>
  </w:style>
  <w:style w:type="paragraph" w:styleId="80">
    <w:name w:val="Body Text 3"/>
    <w:basedOn w:val="1"/>
    <w:link w:val="338"/>
    <w:qFormat/>
    <w:uiPriority w:val="0"/>
    <w:pPr>
      <w:spacing w:after="120" w:line="240" w:lineRule="auto"/>
    </w:pPr>
    <w:rPr>
      <w:kern w:val="0"/>
      <w:sz w:val="16"/>
      <w:szCs w:val="16"/>
      <w:lang w:val="en-US" w:eastAsia="ru-RU"/>
    </w:rPr>
  </w:style>
  <w:style w:type="paragraph" w:styleId="81">
    <w:name w:val="Body Text Indent 2"/>
    <w:basedOn w:val="1"/>
    <w:link w:val="166"/>
    <w:qFormat/>
    <w:uiPriority w:val="0"/>
    <w:pPr>
      <w:spacing w:after="120" w:line="480" w:lineRule="auto"/>
      <w:ind w:left="283"/>
    </w:pPr>
    <w:rPr>
      <w:rFonts w:eastAsia="Times New Roman"/>
      <w:kern w:val="0"/>
      <w:sz w:val="20"/>
      <w:szCs w:val="20"/>
      <w:lang w:eastAsia="ru-RU"/>
    </w:rPr>
  </w:style>
  <w:style w:type="paragraph" w:styleId="82">
    <w:name w:val="Subtitle"/>
    <w:basedOn w:val="1"/>
    <w:link w:val="164"/>
    <w:qFormat/>
    <w:uiPriority w:val="0"/>
    <w:pPr>
      <w:spacing w:after="0" w:line="240" w:lineRule="auto"/>
    </w:pPr>
    <w:rPr>
      <w:rFonts w:eastAsia="Times New Roman"/>
      <w:b/>
      <w:bCs/>
      <w:kern w:val="0"/>
      <w:sz w:val="20"/>
      <w:szCs w:val="20"/>
      <w:lang w:eastAsia="ru-RU"/>
    </w:rPr>
  </w:style>
  <w:style w:type="paragraph" w:styleId="83">
    <w:name w:val="Signature"/>
    <w:basedOn w:val="1"/>
    <w:link w:val="760"/>
    <w:qFormat/>
    <w:uiPriority w:val="0"/>
    <w:pPr>
      <w:spacing w:after="0" w:line="360" w:lineRule="auto"/>
      <w:ind w:left="4252" w:firstLine="709"/>
      <w:jc w:val="both"/>
    </w:pPr>
    <w:rPr>
      <w:rFonts w:ascii="Arial" w:hAnsi="Arial" w:eastAsia="Times New Roman"/>
      <w:spacing w:val="-5"/>
      <w:kern w:val="0"/>
      <w:sz w:val="20"/>
      <w:szCs w:val="20"/>
    </w:rPr>
  </w:style>
  <w:style w:type="paragraph" w:styleId="84">
    <w:name w:val="Salutation"/>
    <w:basedOn w:val="1"/>
    <w:next w:val="1"/>
    <w:link w:val="761"/>
    <w:qFormat/>
    <w:uiPriority w:val="0"/>
    <w:pPr>
      <w:spacing w:after="0" w:line="360" w:lineRule="auto"/>
      <w:ind w:left="1080" w:firstLine="709"/>
      <w:jc w:val="both"/>
    </w:pPr>
    <w:rPr>
      <w:rFonts w:ascii="Arial" w:hAnsi="Arial" w:eastAsia="Times New Roman"/>
      <w:spacing w:val="-5"/>
      <w:kern w:val="0"/>
      <w:sz w:val="20"/>
      <w:szCs w:val="20"/>
    </w:rPr>
  </w:style>
  <w:style w:type="paragraph" w:styleId="85">
    <w:name w:val="List Continue 2"/>
    <w:basedOn w:val="33"/>
    <w:qFormat/>
    <w:uiPriority w:val="0"/>
    <w:pPr>
      <w:ind w:left="2160"/>
    </w:pPr>
  </w:style>
  <w:style w:type="paragraph" w:styleId="86">
    <w:name w:val="List Continue 3"/>
    <w:basedOn w:val="33"/>
    <w:qFormat/>
    <w:uiPriority w:val="0"/>
    <w:pPr>
      <w:ind w:left="2520"/>
    </w:pPr>
  </w:style>
  <w:style w:type="paragraph" w:styleId="87">
    <w:name w:val="List Continue 4"/>
    <w:basedOn w:val="33"/>
    <w:qFormat/>
    <w:uiPriority w:val="0"/>
    <w:pPr>
      <w:ind w:left="2880"/>
    </w:pPr>
  </w:style>
  <w:style w:type="paragraph" w:styleId="88">
    <w:name w:val="List Continue 5"/>
    <w:basedOn w:val="33"/>
    <w:qFormat/>
    <w:uiPriority w:val="0"/>
    <w:pPr>
      <w:ind w:left="3240"/>
    </w:pPr>
  </w:style>
  <w:style w:type="paragraph" w:styleId="89">
    <w:name w:val="List 2"/>
    <w:basedOn w:val="1"/>
    <w:qFormat/>
    <w:uiPriority w:val="0"/>
    <w:pPr>
      <w:spacing w:after="0" w:line="240" w:lineRule="auto"/>
      <w:ind w:left="566" w:hanging="283"/>
    </w:pPr>
    <w:rPr>
      <w:rFonts w:eastAsia="Times New Roman"/>
      <w:kern w:val="0"/>
      <w:sz w:val="20"/>
      <w:szCs w:val="20"/>
      <w:lang w:eastAsia="ru-RU"/>
    </w:rPr>
  </w:style>
  <w:style w:type="paragraph" w:styleId="90">
    <w:name w:val="List 3"/>
    <w:basedOn w:val="32"/>
    <w:qFormat/>
    <w:uiPriority w:val="0"/>
    <w:pPr>
      <w:spacing w:before="0" w:beforeAutospacing="0" w:after="240" w:afterAutospacing="0" w:line="240" w:lineRule="atLeast"/>
      <w:ind w:left="2160" w:hanging="360"/>
      <w:jc w:val="both"/>
    </w:pPr>
    <w:rPr>
      <w:rFonts w:ascii="Arial" w:hAnsi="Arial" w:cs="Arial"/>
      <w:spacing w:val="-5"/>
      <w:sz w:val="20"/>
      <w:szCs w:val="20"/>
      <w:lang w:eastAsia="en-US"/>
    </w:rPr>
  </w:style>
  <w:style w:type="paragraph" w:styleId="91">
    <w:name w:val="List 4"/>
    <w:basedOn w:val="32"/>
    <w:qFormat/>
    <w:uiPriority w:val="0"/>
    <w:pPr>
      <w:spacing w:before="0" w:beforeAutospacing="0" w:after="240" w:afterAutospacing="0" w:line="240" w:lineRule="atLeast"/>
      <w:ind w:left="2520" w:hanging="360"/>
      <w:jc w:val="both"/>
    </w:pPr>
    <w:rPr>
      <w:rFonts w:ascii="Arial" w:hAnsi="Arial" w:cs="Arial"/>
      <w:spacing w:val="-5"/>
      <w:sz w:val="20"/>
      <w:szCs w:val="20"/>
      <w:lang w:eastAsia="en-US"/>
    </w:rPr>
  </w:style>
  <w:style w:type="paragraph" w:styleId="92">
    <w:name w:val="HTML Preformatted"/>
    <w:basedOn w:val="1"/>
    <w:link w:val="195"/>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kern w:val="0"/>
      <w:sz w:val="20"/>
      <w:szCs w:val="20"/>
      <w:lang w:eastAsia="ru-RU"/>
    </w:rPr>
  </w:style>
  <w:style w:type="paragraph" w:styleId="93">
    <w:name w:val="Block Text"/>
    <w:basedOn w:val="1"/>
    <w:qFormat/>
    <w:uiPriority w:val="0"/>
    <w:pPr>
      <w:shd w:val="clear" w:color="auto" w:fill="FFFFFF"/>
      <w:spacing w:before="5" w:after="0" w:line="480" w:lineRule="auto"/>
      <w:ind w:left="426" w:right="14"/>
      <w:jc w:val="both"/>
    </w:pPr>
    <w:rPr>
      <w:rFonts w:ascii="CG Times" w:hAnsi="CG Times" w:eastAsia="Times New Roman"/>
      <w:color w:val="000000"/>
      <w:kern w:val="0"/>
      <w:szCs w:val="18"/>
      <w:lang w:eastAsia="ru-RU"/>
    </w:rPr>
  </w:style>
  <w:style w:type="paragraph" w:styleId="94">
    <w:name w:val="Message Header"/>
    <w:basedOn w:val="56"/>
    <w:link w:val="756"/>
    <w:qFormat/>
    <w:uiPriority w:val="0"/>
    <w:pPr>
      <w:keepLines/>
      <w:widowControl/>
      <w:tabs>
        <w:tab w:val="left" w:pos="3600"/>
        <w:tab w:val="left" w:pos="4680"/>
      </w:tabs>
      <w:spacing w:after="120" w:line="280" w:lineRule="exact"/>
      <w:ind w:left="1080" w:right="2160" w:hanging="1080"/>
      <w:jc w:val="both"/>
    </w:pPr>
    <w:rPr>
      <w:rFonts w:ascii="Arial" w:hAnsi="Arial"/>
      <w:b w:val="0"/>
      <w:snapToGrid/>
      <w:sz w:val="22"/>
      <w:szCs w:val="22"/>
      <w:lang w:eastAsia="en-US"/>
    </w:rPr>
  </w:style>
  <w:style w:type="paragraph" w:styleId="95">
    <w:name w:val="E-mail Signature"/>
    <w:basedOn w:val="1"/>
    <w:link w:val="763"/>
    <w:qFormat/>
    <w:uiPriority w:val="0"/>
    <w:pPr>
      <w:spacing w:after="0" w:line="360" w:lineRule="auto"/>
      <w:ind w:left="1080" w:firstLine="709"/>
      <w:jc w:val="both"/>
    </w:pPr>
    <w:rPr>
      <w:rFonts w:ascii="Arial" w:hAnsi="Arial" w:eastAsia="Times New Roman"/>
      <w:spacing w:val="-5"/>
      <w:kern w:val="0"/>
      <w:sz w:val="20"/>
      <w:szCs w:val="20"/>
    </w:rPr>
  </w:style>
  <w:style w:type="table" w:styleId="96">
    <w:name w:val="Table Colorful 2"/>
    <w:basedOn w:val="12"/>
    <w:qFormat/>
    <w:uiPriority w:val="0"/>
    <w:rPr>
      <w:rFonts w:eastAsia="Times New Roma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7">
    <w:name w:val="Table Grid 2"/>
    <w:basedOn w:val="12"/>
    <w:qFormat/>
    <w:uiPriority w:val="0"/>
    <w:rPr>
      <w:rFonts w:eastAsia="Times New Roman"/>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98">
    <w:name w:val="Table Subtle 1"/>
    <w:basedOn w:val="12"/>
    <w:qFormat/>
    <w:uiPriority w:val="0"/>
    <w:rPr>
      <w:rFonts w:eastAsia="Times New Roman"/>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9">
    <w:name w:val="Table Theme"/>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00">
    <w:name w:val="Table Web 3"/>
    <w:basedOn w:val="12"/>
    <w:qFormat/>
    <w:uiPriority w:val="0"/>
    <w:rPr>
      <w:rFonts w:eastAsia="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01">
    <w:name w:val="Table Grid 6"/>
    <w:basedOn w:val="12"/>
    <w:qFormat/>
    <w:uiPriority w:val="0"/>
    <w:rPr>
      <w:rFonts w:eastAsia="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02">
    <w:name w:val="Table Simple 1"/>
    <w:basedOn w:val="12"/>
    <w:qFormat/>
    <w:uiPriority w:val="0"/>
    <w:rPr>
      <w:rFonts w:eastAsia="Times New Roma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3">
    <w:name w:val="Table Grid 1"/>
    <w:basedOn w:val="12"/>
    <w:qFormat/>
    <w:uiPriority w:val="0"/>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cPr>
        <w:tcBorders>
          <w:tl2br w:val="single" w:color="000000" w:sz="6" w:space="0"/>
          <w:tr2bl w:val="nil"/>
        </w:tcBorders>
      </w:tcPr>
    </w:tblStylePr>
  </w:style>
  <w:style w:type="table" w:styleId="104">
    <w:name w:val="Table 3D effects 2"/>
    <w:basedOn w:val="12"/>
    <w:qFormat/>
    <w:uiPriority w:val="0"/>
    <w:rPr>
      <w:rFonts w:eastAsia="Times New Roma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5"/>
    <w:basedOn w:val="12"/>
    <w:qFormat/>
    <w:uiPriority w:val="0"/>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06">
    <w:name w:val="Table Classic 4"/>
    <w:basedOn w:val="12"/>
    <w:qFormat/>
    <w:uiPriority w:val="0"/>
    <w:rPr>
      <w:rFonts w:eastAsia="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7">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
    <w:name w:val="Table Classic 1"/>
    <w:basedOn w:val="12"/>
    <w:qFormat/>
    <w:uiPriority w:val="0"/>
    <w:rPr>
      <w:rFonts w:eastAsia="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109">
    <w:name w:val="Table Grid 5"/>
    <w:basedOn w:val="12"/>
    <w:qFormat/>
    <w:uiPriority w:val="0"/>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0">
    <w:name w:val="Table 3D effects 3"/>
    <w:basedOn w:val="12"/>
    <w:unhideWhenUsed/>
    <w:qFormat/>
    <w:uiPriority w:val="0"/>
    <w:pPr>
      <w:spacing w:after="200" w:line="276"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11">
    <w:name w:val="Table Columns 3"/>
    <w:basedOn w:val="12"/>
    <w:uiPriority w:val="0"/>
    <w:rPr>
      <w:rFonts w:eastAsia="Times New Roman"/>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2">
    <w:name w:val="Table Columns 4"/>
    <w:basedOn w:val="12"/>
    <w:uiPriority w:val="0"/>
    <w:rPr>
      <w:rFonts w:eastAsia="Times New Roman"/>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3">
    <w:name w:val="Table Classic 3"/>
    <w:basedOn w:val="12"/>
    <w:qFormat/>
    <w:uiPriority w:val="0"/>
    <w:rPr>
      <w:rFonts w:eastAsia="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14">
    <w:name w:val="Table Professional"/>
    <w:basedOn w:val="12"/>
    <w:uiPriority w:val="0"/>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15">
    <w:name w:val="Table Elegant"/>
    <w:basedOn w:val="12"/>
    <w:uiPriority w:val="0"/>
    <w:rPr>
      <w:rFonts w:eastAsia="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6">
    <w:name w:val="Table Colorful 1"/>
    <w:basedOn w:val="12"/>
    <w:qFormat/>
    <w:uiPriority w:val="0"/>
    <w:rPr>
      <w:rFonts w:eastAsia="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17">
    <w:name w:val="Table List 3"/>
    <w:basedOn w:val="12"/>
    <w:uiPriority w:val="0"/>
    <w:rPr>
      <w:rFonts w:eastAsia="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8">
    <w:name w:val="Table Web 2"/>
    <w:basedOn w:val="12"/>
    <w:qFormat/>
    <w:uiPriority w:val="0"/>
    <w:rPr>
      <w:rFonts w:eastAsia="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19">
    <w:name w:val="Table List 7"/>
    <w:basedOn w:val="12"/>
    <w:uiPriority w:val="0"/>
    <w:rPr>
      <w:rFonts w:eastAsia="Times New Roman"/>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0">
    <w:name w:val="Table Contemporary"/>
    <w:basedOn w:val="12"/>
    <w:uiPriority w:val="0"/>
    <w:rPr>
      <w:rFonts w:eastAsia="Times New Roman"/>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21">
    <w:name w:val="Table List 6"/>
    <w:basedOn w:val="12"/>
    <w:uiPriority w:val="0"/>
    <w:rPr>
      <w:rFonts w:eastAsia="Times New Roman"/>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cPr>
        <w:tcBorders>
          <w:tl2br w:val="single" w:color="000000" w:sz="6" w:space="0"/>
          <w:tr2bl w:val="nil"/>
        </w:tcBorders>
      </w:tcPr>
    </w:tblStylePr>
  </w:style>
  <w:style w:type="table" w:styleId="122">
    <w:name w:val="Table Grid 4"/>
    <w:basedOn w:val="12"/>
    <w:qFormat/>
    <w:uiPriority w:val="0"/>
    <w:rPr>
      <w:rFonts w:eastAsia="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Columns 1"/>
    <w:basedOn w:val="12"/>
    <w:uiPriority w:val="0"/>
    <w:rPr>
      <w:rFonts w:eastAsia="Times New Roman"/>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24">
    <w:name w:val="Table List 8"/>
    <w:basedOn w:val="12"/>
    <w:uiPriority w:val="0"/>
    <w:rPr>
      <w:rFonts w:eastAsia="Times New Roman"/>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cPr>
        <w:tcBorders>
          <w:tl2br w:val="single" w:color="auto" w:sz="6" w:space="0"/>
          <w:tr2bl w:val="nil"/>
        </w:tcBorders>
      </w:tcPr>
    </w:tblStylePr>
  </w:style>
  <w:style w:type="table" w:styleId="125">
    <w:name w:val="Table Grid 3"/>
    <w:basedOn w:val="12"/>
    <w:qFormat/>
    <w:uiPriority w:val="0"/>
    <w:rPr>
      <w:rFonts w:eastAsia="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cPr>
        <w:tcBorders>
          <w:tl2br w:val="single" w:color="000000" w:sz="6" w:space="0"/>
          <w:tr2bl w:val="nil"/>
        </w:tcBorders>
      </w:tcPr>
    </w:tblStylePr>
  </w:style>
  <w:style w:type="table" w:styleId="126">
    <w:name w:val="Table Subtle 2"/>
    <w:basedOn w:val="12"/>
    <w:uiPriority w:val="0"/>
    <w:rPr>
      <w:rFonts w:eastAsia="Times New Roman"/>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27">
    <w:name w:val="Table List 4"/>
    <w:basedOn w:val="12"/>
    <w:qFormat/>
    <w:uiPriority w:val="0"/>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28">
    <w:name w:val="Table List 1"/>
    <w:basedOn w:val="12"/>
    <w:uiPriority w:val="0"/>
    <w:rPr>
      <w:rFonts w:eastAsia="Times New Roman"/>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9">
    <w:name w:val="Table Web 1"/>
    <w:basedOn w:val="12"/>
    <w:uiPriority w:val="0"/>
    <w:rPr>
      <w:rFonts w:eastAsia="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Colorful 3"/>
    <w:basedOn w:val="12"/>
    <w:uiPriority w:val="0"/>
    <w:rPr>
      <w:rFonts w:eastAsia="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31">
    <w:name w:val="Table Columns 5"/>
    <w:basedOn w:val="12"/>
    <w:qFormat/>
    <w:uiPriority w:val="0"/>
    <w:rPr>
      <w:rFonts w:eastAsia="Times New Roman"/>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2">
    <w:name w:val="Table Classic 2"/>
    <w:basedOn w:val="12"/>
    <w:uiPriority w:val="0"/>
    <w:rPr>
      <w:rFonts w:eastAsia="Times New Roma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133">
    <w:name w:val="Table Grid 7"/>
    <w:basedOn w:val="12"/>
    <w:uiPriority w:val="0"/>
    <w:rPr>
      <w:rFonts w:eastAsia="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34">
    <w:name w:val="Table 3D effects 1"/>
    <w:basedOn w:val="12"/>
    <w:uiPriority w:val="0"/>
    <w:rPr>
      <w:rFonts w:eastAsia="Times New Roman"/>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35">
    <w:name w:val="Table Columns 2"/>
    <w:basedOn w:val="12"/>
    <w:uiPriority w:val="0"/>
    <w:rPr>
      <w:rFonts w:eastAsia="Times New Roman"/>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Simple 2"/>
    <w:basedOn w:val="12"/>
    <w:uiPriority w:val="0"/>
    <w:rPr>
      <w:rFonts w:eastAsia="Times New Roman"/>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37">
    <w:name w:val="Table Simple 3"/>
    <w:basedOn w:val="12"/>
    <w:uiPriority w:val="0"/>
    <w:rPr>
      <w:rFonts w:eastAsia="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8">
    <w:name w:val="Table Grid 8"/>
    <w:basedOn w:val="12"/>
    <w:qFormat/>
    <w:uiPriority w:val="0"/>
    <w:rPr>
      <w:rFonts w:eastAsia="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39">
    <w:name w:val="Table List 2"/>
    <w:basedOn w:val="12"/>
    <w:qFormat/>
    <w:uiPriority w:val="0"/>
    <w:rPr>
      <w:rFonts w:eastAsia="Times New Roman"/>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40">
    <w:name w:val="Medium Shading 2 Accent 5"/>
    <w:basedOn w:val="12"/>
    <w:qFormat/>
    <w:uiPriority w:val="64"/>
    <w:rPr>
      <w:rFonts w:ascii="Calibri" w:hAnsi="Calibri" w:eastAsia="Times New Roman"/>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4F4F4"/>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4F4F4"/>
      </w:tcPr>
    </w:tblStylePr>
    <w:tblStylePr w:type="firstCol">
      <w:rPr>
        <w:b/>
        <w:bCs/>
        <w:color w:val="F4F4F4"/>
      </w:rPr>
      <w:tcPr>
        <w:tcBorders>
          <w:top w:val="nil"/>
          <w:left w:val="nil"/>
          <w:bottom w:val="single" w:color="auto" w:sz="18" w:space="0"/>
          <w:right w:val="nil"/>
          <w:insideH w:val="nil"/>
          <w:insideV w:val="nil"/>
        </w:tcBorders>
        <w:shd w:val="clear" w:color="auto" w:fill="4BACC6"/>
      </w:tcPr>
    </w:tblStylePr>
    <w:tblStylePr w:type="lastCol">
      <w:rPr>
        <w:b/>
        <w:bCs/>
        <w:color w:val="F4F4F4"/>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CECECE"/>
      </w:tcPr>
    </w:tblStylePr>
    <w:tblStylePr w:type="band1Horz">
      <w:tcPr>
        <w:shd w:val="clear" w:color="auto" w:fill="CECECE"/>
      </w:tcPr>
    </w:tblStylePr>
    <w:tblStylePr w:type="neCell">
      <w:tcPr>
        <w:tcBorders>
          <w:top w:val="single" w:color="auto" w:sz="18" w:space="0"/>
          <w:left w:val="nil"/>
          <w:bottom w:val="single" w:color="auto" w:sz="18" w:space="0"/>
          <w:right w:val="nil"/>
          <w:insideH w:val="nil"/>
          <w:insideV w:val="nil"/>
        </w:tcBorders>
      </w:tcPr>
    </w:tblStylePr>
    <w:tblStylePr w:type="nwCell">
      <w:rPr>
        <w:color w:val="F4F4F4"/>
      </w:rPr>
      <w:tcPr>
        <w:tcBorders>
          <w:top w:val="single" w:color="auto" w:sz="18" w:space="0"/>
          <w:left w:val="nil"/>
          <w:bottom w:val="single" w:color="auto" w:sz="18" w:space="0"/>
          <w:right w:val="nil"/>
          <w:insideH w:val="nil"/>
          <w:insideV w:val="nil"/>
        </w:tcBorders>
      </w:tcPr>
    </w:tblStylePr>
  </w:style>
  <w:style w:type="character" w:customStyle="1" w:styleId="141">
    <w:name w:val="Заголовок 1 Знак"/>
    <w:link w:val="2"/>
    <w:qFormat/>
    <w:uiPriority w:val="0"/>
    <w:rPr>
      <w:rFonts w:ascii="Arial" w:hAnsi="Arial" w:eastAsia="Times New Roman" w:cs="Arial"/>
      <w:b/>
      <w:bCs/>
      <w:kern w:val="32"/>
      <w:sz w:val="32"/>
      <w:szCs w:val="32"/>
      <w:lang w:eastAsia="ru-RU"/>
    </w:rPr>
  </w:style>
  <w:style w:type="character" w:customStyle="1" w:styleId="142">
    <w:name w:val="Заголовок 2 Знак"/>
    <w:link w:val="3"/>
    <w:qFormat/>
    <w:uiPriority w:val="0"/>
    <w:rPr>
      <w:rFonts w:ascii="Arial" w:hAnsi="Arial" w:eastAsia="Times New Roman" w:cs="Arial"/>
      <w:b/>
      <w:bCs/>
      <w:i/>
      <w:iCs/>
      <w:sz w:val="28"/>
      <w:szCs w:val="28"/>
      <w:lang w:eastAsia="ru-RU"/>
    </w:rPr>
  </w:style>
  <w:style w:type="character" w:customStyle="1" w:styleId="143">
    <w:name w:val="Заголовок 3 Знак"/>
    <w:link w:val="4"/>
    <w:uiPriority w:val="0"/>
    <w:rPr>
      <w:rFonts w:ascii="Cambria" w:hAnsi="Cambria" w:eastAsia="Times New Roman" w:cs="Times New Roman"/>
      <w:b/>
      <w:bCs/>
      <w:color w:val="4F81BD"/>
    </w:rPr>
  </w:style>
  <w:style w:type="character" w:customStyle="1" w:styleId="144">
    <w:name w:val="Заголовок 4 Знак1"/>
    <w:link w:val="5"/>
    <w:uiPriority w:val="0"/>
    <w:rPr>
      <w:rFonts w:ascii="Calibri" w:hAnsi="Calibri" w:eastAsia="Times New Roman" w:cs="Times New Roman"/>
      <w:b/>
      <w:bCs/>
      <w:sz w:val="28"/>
      <w:szCs w:val="28"/>
      <w:lang w:eastAsia="ru-RU"/>
    </w:rPr>
  </w:style>
  <w:style w:type="character" w:customStyle="1" w:styleId="145">
    <w:name w:val="Заголовок 5 Знак"/>
    <w:link w:val="6"/>
    <w:uiPriority w:val="0"/>
    <w:rPr>
      <w:rFonts w:ascii="Cambria" w:hAnsi="Cambria" w:eastAsia="Times New Roman" w:cs="Times New Roman"/>
      <w:color w:val="243F60"/>
    </w:rPr>
  </w:style>
  <w:style w:type="character" w:customStyle="1" w:styleId="146">
    <w:name w:val="Схема документа Знак"/>
    <w:link w:val="47"/>
    <w:uiPriority w:val="0"/>
    <w:rPr>
      <w:rFonts w:ascii="Tahoma" w:hAnsi="Tahoma" w:cs="Tahoma"/>
      <w:sz w:val="16"/>
      <w:szCs w:val="16"/>
    </w:rPr>
  </w:style>
  <w:style w:type="paragraph" w:styleId="147">
    <w:name w:val="List Paragraph"/>
    <w:basedOn w:val="1"/>
    <w:link w:val="735"/>
    <w:qFormat/>
    <w:uiPriority w:val="0"/>
    <w:pPr>
      <w:ind w:left="720"/>
      <w:contextualSpacing/>
    </w:pPr>
  </w:style>
  <w:style w:type="character" w:customStyle="1" w:styleId="148">
    <w:name w:val="Заголовок 4 Знак"/>
    <w:uiPriority w:val="0"/>
    <w:rPr>
      <w:rFonts w:ascii="Cambria" w:hAnsi="Cambria" w:eastAsia="Times New Roman" w:cs="Times New Roman"/>
      <w:b/>
      <w:bCs/>
      <w:i/>
      <w:iCs/>
      <w:color w:val="4F81BD"/>
    </w:rPr>
  </w:style>
  <w:style w:type="character" w:customStyle="1" w:styleId="149">
    <w:name w:val="Верхний колонтитул Знак"/>
    <w:basedOn w:val="11"/>
    <w:link w:val="52"/>
    <w:qFormat/>
    <w:uiPriority w:val="0"/>
  </w:style>
  <w:style w:type="character" w:customStyle="1" w:styleId="150">
    <w:name w:val="Нижний колонтитул Знак"/>
    <w:basedOn w:val="11"/>
    <w:link w:val="77"/>
    <w:uiPriority w:val="0"/>
  </w:style>
  <w:style w:type="paragraph" w:customStyle="1" w:styleId="151">
    <w:name w:val="Стиль Заголовок 2 + Times New Roman 12 пт После:  12 пт кернинг ..."/>
    <w:basedOn w:val="3"/>
    <w:uiPriority w:val="0"/>
    <w:pPr>
      <w:spacing w:after="240" w:line="360" w:lineRule="auto"/>
      <w:jc w:val="center"/>
    </w:pPr>
    <w:rPr>
      <w:rFonts w:ascii="Times New Roman" w:hAnsi="Times New Roman"/>
      <w:kern w:val="32"/>
      <w:sz w:val="24"/>
      <w:szCs w:val="20"/>
      <w:lang w:eastAsia="en-US"/>
    </w:rPr>
  </w:style>
  <w:style w:type="character" w:customStyle="1" w:styleId="152">
    <w:name w:val="Текст примечания Знак"/>
    <w:link w:val="44"/>
    <w:uiPriority w:val="0"/>
    <w:rPr>
      <w:sz w:val="20"/>
      <w:szCs w:val="20"/>
    </w:rPr>
  </w:style>
  <w:style w:type="character" w:customStyle="1" w:styleId="153">
    <w:name w:val="Тема примечания Знак"/>
    <w:link w:val="46"/>
    <w:uiPriority w:val="0"/>
    <w:rPr>
      <w:b/>
      <w:bCs/>
      <w:sz w:val="20"/>
      <w:szCs w:val="20"/>
    </w:rPr>
  </w:style>
  <w:style w:type="character" w:customStyle="1" w:styleId="154">
    <w:name w:val="Текст выноски Знак"/>
    <w:link w:val="30"/>
    <w:uiPriority w:val="0"/>
    <w:rPr>
      <w:rFonts w:ascii="Tahoma" w:hAnsi="Tahoma" w:cs="Tahoma"/>
      <w:sz w:val="16"/>
      <w:szCs w:val="16"/>
    </w:rPr>
  </w:style>
  <w:style w:type="paragraph" w:customStyle="1" w:styleId="155">
    <w:name w:val="ConsPlusCell"/>
    <w:qFormat/>
    <w:uiPriority w:val="99"/>
    <w:pPr>
      <w:widowControl w:val="0"/>
      <w:autoSpaceDE w:val="0"/>
      <w:autoSpaceDN w:val="0"/>
      <w:adjustRightInd w:val="0"/>
      <w:spacing w:after="160" w:line="259" w:lineRule="auto"/>
    </w:pPr>
    <w:rPr>
      <w:rFonts w:ascii="Arial" w:hAnsi="Arial" w:eastAsia="Times New Roman" w:cs="Arial"/>
      <w:lang w:val="ru-RU" w:eastAsia="ru-RU" w:bidi="ar-SA"/>
    </w:rPr>
  </w:style>
  <w:style w:type="paragraph" w:customStyle="1" w:styleId="156">
    <w:name w:val="Обычный1"/>
    <w:uiPriority w:val="0"/>
    <w:pPr>
      <w:spacing w:after="160" w:line="259" w:lineRule="auto"/>
    </w:pPr>
    <w:rPr>
      <w:rFonts w:ascii="Times New Roman" w:hAnsi="Times New Roman" w:eastAsia="Times New Roman" w:cs="Times New Roman"/>
      <w:lang w:val="ru-RU" w:eastAsia="ru-RU" w:bidi="ar-SA"/>
    </w:rPr>
  </w:style>
  <w:style w:type="character" w:customStyle="1" w:styleId="157">
    <w:name w:val="Основной текст Знак"/>
    <w:link w:val="56"/>
    <w:uiPriority w:val="99"/>
    <w:rPr>
      <w:rFonts w:eastAsia="Times New Roman"/>
      <w:b/>
      <w:snapToGrid w:val="0"/>
      <w:kern w:val="0"/>
      <w:sz w:val="28"/>
      <w:szCs w:val="20"/>
      <w:lang w:eastAsia="ru-RU"/>
    </w:rPr>
  </w:style>
  <w:style w:type="character" w:customStyle="1" w:styleId="158">
    <w:name w:val="apple-converted-space"/>
    <w:basedOn w:val="11"/>
    <w:uiPriority w:val="0"/>
  </w:style>
  <w:style w:type="paragraph" w:customStyle="1" w:styleId="159">
    <w:name w:val="Основной текст с отступом1"/>
    <w:basedOn w:val="1"/>
    <w:link w:val="160"/>
    <w:qFormat/>
    <w:uiPriority w:val="0"/>
    <w:pPr>
      <w:spacing w:after="120" w:line="240" w:lineRule="auto"/>
      <w:ind w:firstLine="709"/>
      <w:jc w:val="both"/>
    </w:pPr>
    <w:rPr>
      <w:rFonts w:eastAsia="Times New Roman"/>
      <w:kern w:val="0"/>
      <w:sz w:val="20"/>
      <w:szCs w:val="20"/>
      <w:lang w:eastAsia="ru-RU"/>
    </w:rPr>
  </w:style>
  <w:style w:type="character" w:customStyle="1" w:styleId="160">
    <w:name w:val="Body Text Indent Знак"/>
    <w:link w:val="159"/>
    <w:uiPriority w:val="0"/>
    <w:rPr>
      <w:rFonts w:eastAsia="Times New Roman"/>
      <w:kern w:val="0"/>
      <w:lang w:eastAsia="ru-RU"/>
    </w:rPr>
  </w:style>
  <w:style w:type="paragraph" w:customStyle="1" w:styleId="161">
    <w:name w:val="Style5"/>
    <w:basedOn w:val="1"/>
    <w:uiPriority w:val="0"/>
    <w:pPr>
      <w:widowControl w:val="0"/>
      <w:autoSpaceDE w:val="0"/>
      <w:autoSpaceDN w:val="0"/>
      <w:adjustRightInd w:val="0"/>
      <w:spacing w:after="0" w:line="156" w:lineRule="exact"/>
    </w:pPr>
    <w:rPr>
      <w:rFonts w:ascii="Century Schoolbook" w:hAnsi="Century Schoolbook" w:eastAsia="Times New Roman"/>
      <w:kern w:val="0"/>
      <w:lang w:eastAsia="ru-RU"/>
    </w:rPr>
  </w:style>
  <w:style w:type="character" w:customStyle="1" w:styleId="162">
    <w:name w:val="Font Style25"/>
    <w:uiPriority w:val="0"/>
    <w:rPr>
      <w:rFonts w:ascii="Sylfaen" w:hAnsi="Sylfaen" w:cs="Sylfaen"/>
      <w:sz w:val="24"/>
      <w:szCs w:val="24"/>
    </w:rPr>
  </w:style>
  <w:style w:type="paragraph" w:customStyle="1" w:styleId="163">
    <w:name w:val="Основной текст с отступом 32"/>
    <w:basedOn w:val="1"/>
    <w:uiPriority w:val="0"/>
    <w:pPr>
      <w:suppressAutoHyphens/>
      <w:spacing w:after="120" w:line="240" w:lineRule="auto"/>
      <w:ind w:left="283"/>
    </w:pPr>
    <w:rPr>
      <w:rFonts w:eastAsia="Times New Roman"/>
      <w:kern w:val="0"/>
      <w:sz w:val="16"/>
      <w:szCs w:val="16"/>
      <w:lang w:eastAsia="ar-SA"/>
    </w:rPr>
  </w:style>
  <w:style w:type="character" w:customStyle="1" w:styleId="164">
    <w:name w:val="Подзаголовок Знак"/>
    <w:link w:val="82"/>
    <w:qFormat/>
    <w:uiPriority w:val="0"/>
    <w:rPr>
      <w:rFonts w:eastAsia="Times New Roman"/>
      <w:b/>
      <w:bCs/>
      <w:kern w:val="0"/>
      <w:lang w:eastAsia="ru-RU"/>
    </w:rPr>
  </w:style>
  <w:style w:type="paragraph" w:customStyle="1" w:styleId="165">
    <w:name w:val="ConsPlusNormal"/>
    <w:uiPriority w:val="0"/>
    <w:pPr>
      <w:widowControl w:val="0"/>
      <w:autoSpaceDE w:val="0"/>
      <w:autoSpaceDN w:val="0"/>
      <w:adjustRightInd w:val="0"/>
      <w:spacing w:after="160" w:line="259" w:lineRule="auto"/>
      <w:ind w:firstLine="720"/>
    </w:pPr>
    <w:rPr>
      <w:rFonts w:ascii="Arial" w:hAnsi="Arial" w:eastAsia="Times New Roman" w:cs="Arial"/>
      <w:lang w:val="ru-RU" w:eastAsia="ru-RU" w:bidi="ar-SA"/>
    </w:rPr>
  </w:style>
  <w:style w:type="character" w:customStyle="1" w:styleId="166">
    <w:name w:val="Основной текст с отступом 2 Знак"/>
    <w:link w:val="81"/>
    <w:uiPriority w:val="0"/>
    <w:rPr>
      <w:rFonts w:eastAsia="Times New Roman"/>
      <w:kern w:val="0"/>
      <w:lang w:eastAsia="ru-RU"/>
    </w:rPr>
  </w:style>
  <w:style w:type="paragraph" w:customStyle="1" w:styleId="167">
    <w:name w:val="ConsNormal"/>
    <w:link w:val="715"/>
    <w:uiPriority w:val="0"/>
    <w:pPr>
      <w:widowControl w:val="0"/>
      <w:autoSpaceDE w:val="0"/>
      <w:autoSpaceDN w:val="0"/>
      <w:adjustRightInd w:val="0"/>
      <w:spacing w:after="160" w:line="259" w:lineRule="auto"/>
      <w:ind w:firstLine="720"/>
    </w:pPr>
    <w:rPr>
      <w:rFonts w:ascii="Arial" w:hAnsi="Arial" w:eastAsia="Times New Roman" w:cs="Arial"/>
      <w:lang w:val="ru-RU" w:eastAsia="ru-RU" w:bidi="ar-SA"/>
    </w:rPr>
  </w:style>
  <w:style w:type="paragraph" w:customStyle="1" w:styleId="168">
    <w:name w:val="Preformat"/>
    <w:uiPriority w:val="0"/>
    <w:pPr>
      <w:spacing w:after="160" w:line="259" w:lineRule="auto"/>
    </w:pPr>
    <w:rPr>
      <w:rFonts w:ascii="Courier New" w:hAnsi="Courier New" w:eastAsia="Times New Roman" w:cs="Times New Roman"/>
      <w:snapToGrid w:val="0"/>
      <w:lang w:val="ru-RU" w:eastAsia="ru-RU" w:bidi="ar-SA"/>
    </w:rPr>
  </w:style>
  <w:style w:type="character" w:customStyle="1" w:styleId="169">
    <w:name w:val="Основной текст с отступом 3 Знак"/>
    <w:link w:val="41"/>
    <w:uiPriority w:val="0"/>
    <w:rPr>
      <w:sz w:val="16"/>
      <w:szCs w:val="16"/>
    </w:rPr>
  </w:style>
  <w:style w:type="character" w:customStyle="1" w:styleId="170">
    <w:name w:val="Основной текст с отступом Знак"/>
    <w:basedOn w:val="11"/>
    <w:link w:val="72"/>
    <w:uiPriority w:val="0"/>
  </w:style>
  <w:style w:type="character" w:customStyle="1" w:styleId="171">
    <w:name w:val="Текст сноски Знак"/>
    <w:link w:val="48"/>
    <w:uiPriority w:val="99"/>
    <w:rPr>
      <w:rFonts w:eastAsia="Times New Roman"/>
      <w:kern w:val="0"/>
      <w:sz w:val="20"/>
      <w:szCs w:val="20"/>
      <w:lang w:eastAsia="ru-RU"/>
    </w:rPr>
  </w:style>
  <w:style w:type="paragraph" w:customStyle="1" w:styleId="172">
    <w:name w:val="ConsPlusNonformat"/>
    <w:qFormat/>
    <w:uiPriority w:val="99"/>
    <w:pPr>
      <w:widowControl w:val="0"/>
      <w:autoSpaceDE w:val="0"/>
      <w:autoSpaceDN w:val="0"/>
      <w:adjustRightInd w:val="0"/>
      <w:spacing w:after="160" w:line="259" w:lineRule="auto"/>
      <w:ind w:hanging="357"/>
      <w:jc w:val="both"/>
    </w:pPr>
    <w:rPr>
      <w:rFonts w:ascii="Courier New" w:hAnsi="Courier New" w:eastAsia="Calibri" w:cs="Courier New"/>
      <w:sz w:val="24"/>
      <w:szCs w:val="24"/>
      <w:lang w:val="ru-RU" w:eastAsia="ru-RU" w:bidi="ar-SA"/>
    </w:rPr>
  </w:style>
  <w:style w:type="character" w:customStyle="1" w:styleId="173">
    <w:name w:val="WW- Знак1"/>
    <w:qFormat/>
    <w:uiPriority w:val="0"/>
    <w:rPr>
      <w:sz w:val="24"/>
      <w:szCs w:val="24"/>
    </w:rPr>
  </w:style>
  <w:style w:type="paragraph" w:customStyle="1" w:styleId="174">
    <w:name w:val="Абзац списка1"/>
    <w:basedOn w:val="1"/>
    <w:link w:val="426"/>
    <w:qFormat/>
    <w:uiPriority w:val="0"/>
    <w:pPr>
      <w:ind w:left="720"/>
    </w:pPr>
    <w:rPr>
      <w:rFonts w:eastAsia="Times New Roman"/>
    </w:rPr>
  </w:style>
  <w:style w:type="character" w:customStyle="1" w:styleId="175">
    <w:name w:val="spelle"/>
    <w:basedOn w:val="11"/>
    <w:qFormat/>
    <w:uiPriority w:val="0"/>
  </w:style>
  <w:style w:type="character" w:customStyle="1" w:styleId="176">
    <w:name w:val="mw-headline"/>
    <w:basedOn w:val="11"/>
    <w:qFormat/>
    <w:uiPriority w:val="0"/>
  </w:style>
  <w:style w:type="character" w:customStyle="1" w:styleId="177">
    <w:name w:val="mw-editsection"/>
    <w:basedOn w:val="11"/>
    <w:qFormat/>
    <w:uiPriority w:val="0"/>
  </w:style>
  <w:style w:type="character" w:styleId="178">
    <w:name w:val="Placeholder Text"/>
    <w:semiHidden/>
    <w:qFormat/>
    <w:uiPriority w:val="99"/>
    <w:rPr>
      <w:color w:val="808080"/>
    </w:rPr>
  </w:style>
  <w:style w:type="paragraph" w:customStyle="1" w:styleId="179">
    <w:name w:val="ConsPlusTitle"/>
    <w:qFormat/>
    <w:uiPriority w:val="99"/>
    <w:pPr>
      <w:widowControl w:val="0"/>
      <w:autoSpaceDE w:val="0"/>
      <w:autoSpaceDN w:val="0"/>
      <w:adjustRightInd w:val="0"/>
      <w:spacing w:after="160" w:line="259" w:lineRule="auto"/>
    </w:pPr>
    <w:rPr>
      <w:rFonts w:ascii="Arial" w:hAnsi="Arial" w:eastAsia="Times New Roman" w:cs="Arial"/>
      <w:b/>
      <w:bCs/>
      <w:lang w:val="ru-RU" w:eastAsia="ru-RU" w:bidi="ar-SA"/>
    </w:rPr>
  </w:style>
  <w:style w:type="paragraph" w:customStyle="1" w:styleId="180">
    <w:name w:val="xl24"/>
    <w:basedOn w:val="1"/>
    <w:qFormat/>
    <w:uiPriority w:val="0"/>
    <w:pPr>
      <w:pBdr>
        <w:right w:val="single" w:color="000000" w:sz="4" w:space="0"/>
      </w:pBdr>
      <w:suppressAutoHyphens/>
      <w:spacing w:before="100" w:after="100" w:line="240" w:lineRule="auto"/>
      <w:jc w:val="center"/>
    </w:pPr>
    <w:rPr>
      <w:rFonts w:eastAsia="Arial Unicode MS"/>
      <w:kern w:val="0"/>
      <w:szCs w:val="20"/>
      <w:lang w:eastAsia="ar-SA"/>
    </w:rPr>
  </w:style>
  <w:style w:type="paragraph" w:customStyle="1" w:styleId="181">
    <w:name w:val="Основной текст с отступом 31"/>
    <w:basedOn w:val="1"/>
    <w:qFormat/>
    <w:uiPriority w:val="0"/>
    <w:pPr>
      <w:suppressAutoHyphens/>
      <w:spacing w:after="120" w:line="240" w:lineRule="auto"/>
      <w:ind w:left="283"/>
    </w:pPr>
    <w:rPr>
      <w:rFonts w:eastAsia="Times New Roman"/>
      <w:kern w:val="0"/>
      <w:sz w:val="16"/>
      <w:szCs w:val="16"/>
      <w:lang w:eastAsia="ar-SA"/>
    </w:rPr>
  </w:style>
  <w:style w:type="paragraph" w:customStyle="1" w:styleId="182">
    <w:name w:val="Основной текст 32"/>
    <w:basedOn w:val="1"/>
    <w:qFormat/>
    <w:uiPriority w:val="0"/>
    <w:pPr>
      <w:suppressAutoHyphens/>
      <w:spacing w:after="0" w:line="240" w:lineRule="auto"/>
    </w:pPr>
    <w:rPr>
      <w:rFonts w:ascii="Arial" w:hAnsi="Arial" w:eastAsia="Times New Roman" w:cs="Arial"/>
      <w:b/>
      <w:bCs/>
      <w:color w:val="000000"/>
      <w:kern w:val="0"/>
      <w:lang w:eastAsia="ar-SA"/>
    </w:rPr>
  </w:style>
  <w:style w:type="paragraph" w:customStyle="1" w:styleId="183">
    <w:name w:val="style22"/>
    <w:basedOn w:val="1"/>
    <w:qFormat/>
    <w:uiPriority w:val="0"/>
    <w:pPr>
      <w:spacing w:before="100" w:beforeAutospacing="1" w:after="100" w:afterAutospacing="1" w:line="240" w:lineRule="auto"/>
    </w:pPr>
    <w:rPr>
      <w:rFonts w:eastAsia="Times New Roman"/>
      <w:kern w:val="0"/>
      <w:lang w:eastAsia="ru-RU"/>
    </w:rPr>
  </w:style>
  <w:style w:type="character" w:customStyle="1" w:styleId="184">
    <w:name w:val="fontstyle76"/>
    <w:basedOn w:val="11"/>
    <w:qFormat/>
    <w:uiPriority w:val="0"/>
  </w:style>
  <w:style w:type="paragraph" w:customStyle="1" w:styleId="185">
    <w:name w:val="А_текст"/>
    <w:link w:val="186"/>
    <w:qFormat/>
    <w:uiPriority w:val="0"/>
    <w:pPr>
      <w:spacing w:after="160" w:line="360" w:lineRule="auto"/>
      <w:ind w:firstLine="851"/>
      <w:jc w:val="both"/>
    </w:pPr>
    <w:rPr>
      <w:rFonts w:ascii="Times New Roman" w:hAnsi="Times New Roman" w:eastAsia="Times New Roman" w:cs="Times New Roman"/>
      <w:sz w:val="24"/>
      <w:szCs w:val="24"/>
      <w:lang w:val="ru-RU" w:eastAsia="ru-RU" w:bidi="ar-SA"/>
    </w:rPr>
  </w:style>
  <w:style w:type="character" w:customStyle="1" w:styleId="186">
    <w:name w:val="А_текст Знак"/>
    <w:link w:val="185"/>
    <w:qFormat/>
    <w:uiPriority w:val="0"/>
    <w:rPr>
      <w:rFonts w:eastAsia="Times New Roman"/>
      <w:sz w:val="24"/>
      <w:szCs w:val="24"/>
      <w:lang w:val="ru-RU" w:eastAsia="ru-RU" w:bidi="ar-SA"/>
    </w:rPr>
  </w:style>
  <w:style w:type="character" w:customStyle="1" w:styleId="187">
    <w:name w:val="telefon1"/>
    <w:qFormat/>
    <w:uiPriority w:val="0"/>
    <w:rPr>
      <w:color w:val="000000"/>
      <w:sz w:val="26"/>
      <w:szCs w:val="26"/>
    </w:rPr>
  </w:style>
  <w:style w:type="paragraph" w:customStyle="1" w:styleId="188">
    <w:name w:val="Основной текст с отступом 21"/>
    <w:basedOn w:val="1"/>
    <w:qFormat/>
    <w:uiPriority w:val="0"/>
    <w:pPr>
      <w:suppressAutoHyphens/>
      <w:spacing w:after="120" w:line="480" w:lineRule="auto"/>
      <w:ind w:left="283"/>
    </w:pPr>
    <w:rPr>
      <w:rFonts w:eastAsia="Times New Roman"/>
      <w:kern w:val="0"/>
      <w:lang w:eastAsia="ar-SA"/>
    </w:rPr>
  </w:style>
  <w:style w:type="paragraph" w:customStyle="1" w:styleId="189">
    <w:name w:val="БДО Основной текст"/>
    <w:basedOn w:val="56"/>
    <w:qFormat/>
    <w:uiPriority w:val="0"/>
    <w:pPr>
      <w:widowControl/>
      <w:suppressAutoHyphens/>
      <w:spacing w:after="120"/>
      <w:jc w:val="both"/>
    </w:pPr>
    <w:rPr>
      <w:rFonts w:ascii="Garamond" w:hAnsi="Garamond"/>
      <w:b w:val="0"/>
      <w:snapToGrid/>
      <w:kern w:val="1"/>
      <w:sz w:val="24"/>
      <w:szCs w:val="24"/>
      <w:lang w:eastAsia="ar-SA"/>
    </w:rPr>
  </w:style>
  <w:style w:type="table" w:customStyle="1" w:styleId="190">
    <w:name w:val="Сетка таблицы1"/>
    <w:basedOn w:val="12"/>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1">
    <w:name w:val="Текст Знак"/>
    <w:link w:val="40"/>
    <w:qFormat/>
    <w:uiPriority w:val="0"/>
    <w:rPr>
      <w:rFonts w:ascii="Courier New" w:hAnsi="Courier New" w:eastAsia="Times New Roman" w:cs="Courier New"/>
      <w:kern w:val="0"/>
      <w:sz w:val="20"/>
      <w:szCs w:val="20"/>
      <w:lang w:eastAsia="ru-RU"/>
    </w:rPr>
  </w:style>
  <w:style w:type="character" w:customStyle="1" w:styleId="192">
    <w:name w:val="Основной текст 2 Знак"/>
    <w:link w:val="34"/>
    <w:qFormat/>
    <w:uiPriority w:val="0"/>
    <w:rPr>
      <w:rFonts w:eastAsia="Times New Roman"/>
      <w:kern w:val="0"/>
      <w:lang w:eastAsia="ru-RU"/>
    </w:rPr>
  </w:style>
  <w:style w:type="paragraph" w:customStyle="1" w:styleId="193">
    <w:name w:val="Стиль4 Знак"/>
    <w:basedOn w:val="72"/>
    <w:link w:val="194"/>
    <w:qFormat/>
    <w:uiPriority w:val="0"/>
    <w:pPr>
      <w:spacing w:after="0" w:line="240" w:lineRule="auto"/>
      <w:ind w:left="0" w:firstLine="708"/>
      <w:jc w:val="both"/>
    </w:pPr>
    <w:rPr>
      <w:rFonts w:eastAsia="Times New Roman"/>
      <w:kern w:val="0"/>
      <w:sz w:val="20"/>
      <w:szCs w:val="20"/>
      <w:lang w:eastAsia="ru-RU"/>
    </w:rPr>
  </w:style>
  <w:style w:type="character" w:customStyle="1" w:styleId="194">
    <w:name w:val="Стиль4 Знак Знак"/>
    <w:link w:val="193"/>
    <w:qFormat/>
    <w:locked/>
    <w:uiPriority w:val="0"/>
    <w:rPr>
      <w:rFonts w:eastAsia="Times New Roman"/>
      <w:kern w:val="0"/>
      <w:lang w:eastAsia="ru-RU"/>
    </w:rPr>
  </w:style>
  <w:style w:type="character" w:customStyle="1" w:styleId="195">
    <w:name w:val="Стандартный HTML Знак"/>
    <w:link w:val="92"/>
    <w:qFormat/>
    <w:uiPriority w:val="0"/>
    <w:rPr>
      <w:rFonts w:ascii="Courier New" w:hAnsi="Courier New" w:eastAsia="Times New Roman" w:cs="Courier New"/>
      <w:kern w:val="0"/>
      <w:sz w:val="20"/>
      <w:szCs w:val="20"/>
      <w:lang w:eastAsia="ru-RU"/>
    </w:rPr>
  </w:style>
  <w:style w:type="character" w:customStyle="1" w:styleId="196">
    <w:name w:val="Красная строка Знак"/>
    <w:basedOn w:val="157"/>
    <w:link w:val="70"/>
    <w:qFormat/>
    <w:uiPriority w:val="0"/>
    <w:rPr>
      <w:rFonts w:eastAsia="Times New Roman"/>
      <w:snapToGrid w:val="0"/>
      <w:kern w:val="0"/>
      <w:sz w:val="28"/>
      <w:szCs w:val="20"/>
      <w:lang w:eastAsia="ru-RU"/>
    </w:rPr>
  </w:style>
  <w:style w:type="character" w:customStyle="1" w:styleId="197">
    <w:name w:val="Заголовок Знак"/>
    <w:link w:val="76"/>
    <w:qFormat/>
    <w:uiPriority w:val="0"/>
    <w:rPr>
      <w:rFonts w:ascii="Cambria" w:hAnsi="Cambria" w:eastAsia="Times New Roman"/>
      <w:b/>
      <w:bCs/>
      <w:kern w:val="28"/>
      <w:sz w:val="32"/>
      <w:szCs w:val="32"/>
    </w:rPr>
  </w:style>
  <w:style w:type="paragraph" w:customStyle="1" w:styleId="198">
    <w:name w:val="Стиль 10 пт По центру"/>
    <w:basedOn w:val="1"/>
    <w:qFormat/>
    <w:uiPriority w:val="0"/>
    <w:pPr>
      <w:spacing w:after="0" w:line="240" w:lineRule="auto"/>
      <w:jc w:val="center"/>
    </w:pPr>
    <w:rPr>
      <w:kern w:val="0"/>
      <w:sz w:val="20"/>
      <w:szCs w:val="20"/>
    </w:rPr>
  </w:style>
  <w:style w:type="paragraph" w:customStyle="1" w:styleId="199">
    <w:name w:val="Основной"/>
    <w:basedOn w:val="1"/>
    <w:link w:val="200"/>
    <w:qFormat/>
    <w:uiPriority w:val="0"/>
    <w:pPr>
      <w:spacing w:after="0" w:line="360" w:lineRule="auto"/>
      <w:ind w:firstLine="720"/>
      <w:jc w:val="both"/>
    </w:pPr>
    <w:rPr>
      <w:rFonts w:eastAsia="Times New Roman"/>
      <w:kern w:val="0"/>
      <w:sz w:val="28"/>
      <w:szCs w:val="28"/>
    </w:rPr>
  </w:style>
  <w:style w:type="character" w:customStyle="1" w:styleId="200">
    <w:name w:val="Основной Знак"/>
    <w:link w:val="199"/>
    <w:qFormat/>
    <w:uiPriority w:val="0"/>
    <w:rPr>
      <w:rFonts w:eastAsia="Times New Roman"/>
      <w:kern w:val="0"/>
      <w:sz w:val="28"/>
      <w:szCs w:val="28"/>
    </w:rPr>
  </w:style>
  <w:style w:type="paragraph" w:customStyle="1" w:styleId="201">
    <w:name w:val="font5"/>
    <w:basedOn w:val="1"/>
    <w:qFormat/>
    <w:uiPriority w:val="0"/>
    <w:pPr>
      <w:spacing w:before="100" w:beforeAutospacing="1" w:after="100" w:afterAutospacing="1" w:line="240" w:lineRule="auto"/>
    </w:pPr>
    <w:rPr>
      <w:rFonts w:eastAsia="Times New Roman"/>
      <w:kern w:val="0"/>
      <w:sz w:val="20"/>
      <w:szCs w:val="20"/>
      <w:lang w:eastAsia="ru-RU"/>
    </w:rPr>
  </w:style>
  <w:style w:type="paragraph" w:customStyle="1" w:styleId="202">
    <w:name w:val="font6"/>
    <w:basedOn w:val="1"/>
    <w:qFormat/>
    <w:uiPriority w:val="0"/>
    <w:pPr>
      <w:spacing w:before="100" w:beforeAutospacing="1" w:after="100" w:afterAutospacing="1" w:line="240" w:lineRule="auto"/>
    </w:pPr>
    <w:rPr>
      <w:rFonts w:eastAsia="Times New Roman"/>
      <w:kern w:val="0"/>
      <w:sz w:val="20"/>
      <w:szCs w:val="20"/>
      <w:lang w:eastAsia="ru-RU"/>
    </w:rPr>
  </w:style>
  <w:style w:type="paragraph" w:customStyle="1" w:styleId="203">
    <w:name w:val="font7"/>
    <w:basedOn w:val="1"/>
    <w:qFormat/>
    <w:uiPriority w:val="0"/>
    <w:pPr>
      <w:spacing w:before="100" w:beforeAutospacing="1" w:after="100" w:afterAutospacing="1" w:line="240" w:lineRule="auto"/>
    </w:pPr>
    <w:rPr>
      <w:rFonts w:eastAsia="Times New Roman"/>
      <w:i/>
      <w:iCs/>
      <w:kern w:val="0"/>
      <w:sz w:val="20"/>
      <w:szCs w:val="20"/>
      <w:lang w:eastAsia="ru-RU"/>
    </w:rPr>
  </w:style>
  <w:style w:type="paragraph" w:customStyle="1" w:styleId="204">
    <w:name w:val="font8"/>
    <w:basedOn w:val="1"/>
    <w:qFormat/>
    <w:uiPriority w:val="0"/>
    <w:pPr>
      <w:spacing w:before="100" w:beforeAutospacing="1" w:after="100" w:afterAutospacing="1" w:line="240" w:lineRule="auto"/>
    </w:pPr>
    <w:rPr>
      <w:rFonts w:eastAsia="Times New Roman"/>
      <w:color w:val="FF0000"/>
      <w:kern w:val="0"/>
      <w:sz w:val="20"/>
      <w:szCs w:val="20"/>
      <w:lang w:eastAsia="ru-RU"/>
    </w:rPr>
  </w:style>
  <w:style w:type="paragraph" w:customStyle="1" w:styleId="205">
    <w:name w:val="font9"/>
    <w:basedOn w:val="1"/>
    <w:qFormat/>
    <w:uiPriority w:val="0"/>
    <w:pPr>
      <w:spacing w:before="100" w:beforeAutospacing="1" w:after="100" w:afterAutospacing="1" w:line="240" w:lineRule="auto"/>
    </w:pPr>
    <w:rPr>
      <w:rFonts w:eastAsia="Times New Roman"/>
      <w:color w:val="FF0000"/>
      <w:kern w:val="0"/>
      <w:sz w:val="20"/>
      <w:szCs w:val="20"/>
      <w:lang w:eastAsia="ru-RU"/>
    </w:rPr>
  </w:style>
  <w:style w:type="paragraph" w:customStyle="1" w:styleId="206">
    <w:name w:val="font10"/>
    <w:basedOn w:val="1"/>
    <w:qFormat/>
    <w:uiPriority w:val="0"/>
    <w:pPr>
      <w:spacing w:before="100" w:beforeAutospacing="1" w:after="100" w:afterAutospacing="1" w:line="240" w:lineRule="auto"/>
    </w:pPr>
    <w:rPr>
      <w:rFonts w:ascii="Tahoma" w:hAnsi="Tahoma" w:eastAsia="Times New Roman" w:cs="Tahoma"/>
      <w:b/>
      <w:bCs/>
      <w:color w:val="000000"/>
      <w:kern w:val="0"/>
      <w:sz w:val="16"/>
      <w:szCs w:val="16"/>
      <w:lang w:eastAsia="ru-RU"/>
    </w:rPr>
  </w:style>
  <w:style w:type="paragraph" w:customStyle="1" w:styleId="207">
    <w:name w:val="font11"/>
    <w:basedOn w:val="1"/>
    <w:qFormat/>
    <w:uiPriority w:val="0"/>
    <w:pPr>
      <w:spacing w:before="100" w:beforeAutospacing="1" w:after="100" w:afterAutospacing="1" w:line="240" w:lineRule="auto"/>
    </w:pPr>
    <w:rPr>
      <w:rFonts w:ascii="Tahoma" w:hAnsi="Tahoma" w:eastAsia="Times New Roman" w:cs="Tahoma"/>
      <w:color w:val="000000"/>
      <w:kern w:val="0"/>
      <w:sz w:val="16"/>
      <w:szCs w:val="16"/>
      <w:lang w:eastAsia="ru-RU"/>
    </w:rPr>
  </w:style>
  <w:style w:type="paragraph" w:customStyle="1" w:styleId="208">
    <w:name w:val="xl82"/>
    <w:basedOn w:val="1"/>
    <w:qFormat/>
    <w:uiPriority w:val="0"/>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09">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10">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11">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212">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13">
    <w:name w:val="xl87"/>
    <w:basedOn w:val="1"/>
    <w:qFormat/>
    <w:uiPriority w:val="0"/>
    <w:pPr>
      <w:pBdr>
        <w:top w:val="single" w:color="auto" w:sz="4" w:space="0"/>
        <w:left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214">
    <w:name w:val="xl88"/>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15">
    <w:name w:val="xl89"/>
    <w:basedOn w:val="1"/>
    <w:qFormat/>
    <w:uiPriority w:val="0"/>
    <w:pPr>
      <w:pBdr>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216">
    <w:name w:val="xl9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17">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color w:val="FF0000"/>
      <w:kern w:val="0"/>
      <w:sz w:val="20"/>
      <w:szCs w:val="20"/>
      <w:lang w:eastAsia="ru-RU"/>
    </w:rPr>
  </w:style>
  <w:style w:type="paragraph" w:customStyle="1" w:styleId="218">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219">
    <w:name w:val="xl93"/>
    <w:basedOn w:val="1"/>
    <w:qFormat/>
    <w:uiPriority w:val="0"/>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0">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221">
    <w:name w:val="xl95"/>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2">
    <w:name w:val="xl96"/>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3">
    <w:name w:val="xl97"/>
    <w:basedOn w:val="1"/>
    <w:qFormat/>
    <w:uiPriority w:val="0"/>
    <w:pPr>
      <w:pBdr>
        <w:top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4">
    <w:name w:val="xl98"/>
    <w:basedOn w:val="1"/>
    <w:qFormat/>
    <w:uiPriority w:val="0"/>
    <w:pPr>
      <w:pBdr>
        <w:top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5">
    <w:name w:val="xl99"/>
    <w:basedOn w:val="1"/>
    <w:qFormat/>
    <w:uiPriority w:val="0"/>
    <w:pPr>
      <w:pBdr>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6">
    <w:name w:val="xl100"/>
    <w:basedOn w:val="1"/>
    <w:qFormat/>
    <w:uiPriority w:val="0"/>
    <w:pPr>
      <w:pBdr>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7">
    <w:name w:val="xl101"/>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28">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229">
    <w:name w:val="xl1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230">
    <w:name w:val="style4"/>
    <w:basedOn w:val="1"/>
    <w:qFormat/>
    <w:uiPriority w:val="0"/>
    <w:pPr>
      <w:spacing w:before="100" w:beforeAutospacing="1" w:after="100" w:afterAutospacing="1" w:line="240" w:lineRule="auto"/>
    </w:pPr>
    <w:rPr>
      <w:rFonts w:eastAsia="Times New Roman"/>
      <w:kern w:val="0"/>
      <w:lang w:eastAsia="ru-RU"/>
    </w:rPr>
  </w:style>
  <w:style w:type="character" w:customStyle="1" w:styleId="231">
    <w:name w:val="g-nowrap"/>
    <w:basedOn w:val="11"/>
    <w:qFormat/>
    <w:uiPriority w:val="0"/>
  </w:style>
  <w:style w:type="character" w:customStyle="1" w:styleId="232">
    <w:name w:val="b-timetable__time"/>
    <w:basedOn w:val="11"/>
    <w:qFormat/>
    <w:uiPriority w:val="0"/>
  </w:style>
  <w:style w:type="character" w:customStyle="1" w:styleId="233">
    <w:name w:val="Основной текст_"/>
    <w:link w:val="234"/>
    <w:qFormat/>
    <w:uiPriority w:val="0"/>
    <w:rPr>
      <w:rFonts w:eastAsia="Times New Roman"/>
      <w:spacing w:val="4"/>
      <w:sz w:val="20"/>
      <w:szCs w:val="20"/>
      <w:shd w:val="clear" w:color="auto" w:fill="FFFFFF"/>
    </w:rPr>
  </w:style>
  <w:style w:type="paragraph" w:customStyle="1" w:styleId="234">
    <w:name w:val="Основной текст3"/>
    <w:basedOn w:val="1"/>
    <w:link w:val="233"/>
    <w:qFormat/>
    <w:uiPriority w:val="0"/>
    <w:pPr>
      <w:widowControl w:val="0"/>
      <w:shd w:val="clear" w:color="auto" w:fill="FFFFFF"/>
      <w:spacing w:after="0" w:line="263" w:lineRule="exact"/>
      <w:jc w:val="center"/>
    </w:pPr>
    <w:rPr>
      <w:rFonts w:eastAsia="Times New Roman"/>
      <w:spacing w:val="4"/>
      <w:kern w:val="0"/>
      <w:sz w:val="20"/>
      <w:szCs w:val="20"/>
    </w:rPr>
  </w:style>
  <w:style w:type="character" w:customStyle="1" w:styleId="235">
    <w:name w:val="Основной текст (3)_"/>
    <w:link w:val="236"/>
    <w:qFormat/>
    <w:uiPriority w:val="0"/>
    <w:rPr>
      <w:rFonts w:eastAsia="Times New Roman"/>
      <w:b/>
      <w:bCs/>
      <w:spacing w:val="1"/>
      <w:sz w:val="20"/>
      <w:szCs w:val="20"/>
      <w:shd w:val="clear" w:color="auto" w:fill="FFFFFF"/>
    </w:rPr>
  </w:style>
  <w:style w:type="paragraph" w:customStyle="1" w:styleId="236">
    <w:name w:val="Основной текст (3)"/>
    <w:basedOn w:val="1"/>
    <w:link w:val="235"/>
    <w:qFormat/>
    <w:uiPriority w:val="0"/>
    <w:pPr>
      <w:widowControl w:val="0"/>
      <w:shd w:val="clear" w:color="auto" w:fill="FFFFFF"/>
      <w:spacing w:before="600" w:after="0" w:line="403" w:lineRule="exact"/>
      <w:jc w:val="both"/>
    </w:pPr>
    <w:rPr>
      <w:rFonts w:eastAsia="Times New Roman"/>
      <w:b/>
      <w:bCs/>
      <w:spacing w:val="1"/>
      <w:kern w:val="0"/>
      <w:sz w:val="20"/>
      <w:szCs w:val="20"/>
    </w:rPr>
  </w:style>
  <w:style w:type="character" w:customStyle="1" w:styleId="237">
    <w:name w:val="Основной текст (5)_"/>
    <w:link w:val="238"/>
    <w:qFormat/>
    <w:uiPriority w:val="0"/>
    <w:rPr>
      <w:rFonts w:eastAsia="Times New Roman"/>
      <w:b/>
      <w:bCs/>
      <w:spacing w:val="-4"/>
      <w:sz w:val="25"/>
      <w:szCs w:val="25"/>
      <w:shd w:val="clear" w:color="auto" w:fill="FFFFFF"/>
    </w:rPr>
  </w:style>
  <w:style w:type="paragraph" w:customStyle="1" w:styleId="238">
    <w:name w:val="Основной текст (5)"/>
    <w:basedOn w:val="1"/>
    <w:link w:val="237"/>
    <w:qFormat/>
    <w:uiPriority w:val="0"/>
    <w:pPr>
      <w:widowControl w:val="0"/>
      <w:shd w:val="clear" w:color="auto" w:fill="FFFFFF"/>
      <w:spacing w:after="0" w:line="0" w:lineRule="atLeast"/>
    </w:pPr>
    <w:rPr>
      <w:rFonts w:eastAsia="Times New Roman"/>
      <w:b/>
      <w:bCs/>
      <w:spacing w:val="-4"/>
      <w:kern w:val="0"/>
      <w:sz w:val="25"/>
      <w:szCs w:val="25"/>
    </w:rPr>
  </w:style>
  <w:style w:type="character" w:customStyle="1" w:styleId="239">
    <w:name w:val="Заголовок №1_"/>
    <w:link w:val="240"/>
    <w:qFormat/>
    <w:uiPriority w:val="0"/>
    <w:rPr>
      <w:rFonts w:ascii="Tahoma" w:hAnsi="Tahoma" w:eastAsia="Tahoma" w:cs="Tahoma"/>
      <w:b/>
      <w:bCs/>
      <w:spacing w:val="52"/>
      <w:sz w:val="28"/>
      <w:szCs w:val="28"/>
      <w:shd w:val="clear" w:color="auto" w:fill="FFFFFF"/>
    </w:rPr>
  </w:style>
  <w:style w:type="paragraph" w:customStyle="1" w:styleId="240">
    <w:name w:val="Заголовок №1"/>
    <w:basedOn w:val="1"/>
    <w:link w:val="239"/>
    <w:qFormat/>
    <w:uiPriority w:val="0"/>
    <w:pPr>
      <w:widowControl w:val="0"/>
      <w:shd w:val="clear" w:color="auto" w:fill="FFFFFF"/>
      <w:spacing w:after="0" w:line="0" w:lineRule="atLeast"/>
      <w:outlineLvl w:val="0"/>
    </w:pPr>
    <w:rPr>
      <w:rFonts w:ascii="Tahoma" w:hAnsi="Tahoma" w:eastAsia="Tahoma"/>
      <w:b/>
      <w:bCs/>
      <w:spacing w:val="52"/>
      <w:kern w:val="0"/>
      <w:sz w:val="28"/>
      <w:szCs w:val="28"/>
    </w:rPr>
  </w:style>
  <w:style w:type="character" w:customStyle="1" w:styleId="241">
    <w:name w:val="Основной текст (6)_"/>
    <w:link w:val="242"/>
    <w:qFormat/>
    <w:uiPriority w:val="0"/>
    <w:rPr>
      <w:rFonts w:eastAsia="Times New Roman"/>
      <w:spacing w:val="9"/>
      <w:shd w:val="clear" w:color="auto" w:fill="FFFFFF"/>
    </w:rPr>
  </w:style>
  <w:style w:type="paragraph" w:customStyle="1" w:styleId="242">
    <w:name w:val="Основной текст (6)"/>
    <w:basedOn w:val="1"/>
    <w:link w:val="241"/>
    <w:uiPriority w:val="0"/>
    <w:pPr>
      <w:widowControl w:val="0"/>
      <w:shd w:val="clear" w:color="auto" w:fill="FFFFFF"/>
      <w:spacing w:after="0" w:line="274" w:lineRule="exact"/>
      <w:ind w:hanging="1900"/>
      <w:jc w:val="both"/>
    </w:pPr>
    <w:rPr>
      <w:rFonts w:eastAsia="Times New Roman"/>
      <w:spacing w:val="9"/>
      <w:kern w:val="0"/>
      <w:sz w:val="20"/>
      <w:szCs w:val="20"/>
    </w:rPr>
  </w:style>
  <w:style w:type="character" w:customStyle="1" w:styleId="243">
    <w:name w:val="Основной текст2"/>
    <w:qFormat/>
    <w:uiPriority w:val="0"/>
    <w:rPr>
      <w:rFonts w:eastAsia="Times New Roman"/>
      <w:color w:val="000000"/>
      <w:spacing w:val="4"/>
      <w:w w:val="100"/>
      <w:position w:val="0"/>
      <w:sz w:val="20"/>
      <w:szCs w:val="20"/>
      <w:u w:val="single"/>
      <w:shd w:val="clear" w:color="auto" w:fill="FFFFFF"/>
      <w:lang w:val="ru-RU"/>
    </w:rPr>
  </w:style>
  <w:style w:type="character" w:customStyle="1" w:styleId="244">
    <w:name w:val="Заголовок №4_"/>
    <w:link w:val="245"/>
    <w:qFormat/>
    <w:uiPriority w:val="0"/>
    <w:rPr>
      <w:rFonts w:eastAsia="Times New Roman"/>
      <w:spacing w:val="9"/>
      <w:shd w:val="clear" w:color="auto" w:fill="FFFFFF"/>
    </w:rPr>
  </w:style>
  <w:style w:type="paragraph" w:customStyle="1" w:styleId="245">
    <w:name w:val="Заголовок №4"/>
    <w:basedOn w:val="1"/>
    <w:link w:val="244"/>
    <w:qFormat/>
    <w:uiPriority w:val="0"/>
    <w:pPr>
      <w:widowControl w:val="0"/>
      <w:shd w:val="clear" w:color="auto" w:fill="FFFFFF"/>
      <w:spacing w:after="0" w:line="263" w:lineRule="exact"/>
      <w:jc w:val="both"/>
      <w:outlineLvl w:val="3"/>
    </w:pPr>
    <w:rPr>
      <w:rFonts w:eastAsia="Times New Roman"/>
      <w:spacing w:val="9"/>
      <w:kern w:val="0"/>
      <w:sz w:val="20"/>
      <w:szCs w:val="20"/>
    </w:rPr>
  </w:style>
  <w:style w:type="paragraph" w:customStyle="1" w:styleId="246">
    <w:name w:val="Default"/>
    <w:qFormat/>
    <w:uiPriority w:val="0"/>
    <w:pPr>
      <w:widowControl w:val="0"/>
      <w:autoSpaceDE w:val="0"/>
      <w:autoSpaceDN w:val="0"/>
      <w:adjustRightInd w:val="0"/>
      <w:spacing w:after="160" w:line="259" w:lineRule="auto"/>
    </w:pPr>
    <w:rPr>
      <w:rFonts w:ascii="Times" w:hAnsi="Times" w:eastAsia="Times New Roman" w:cs="Times"/>
      <w:color w:val="000000"/>
      <w:sz w:val="24"/>
      <w:szCs w:val="24"/>
      <w:lang w:val="ru-RU" w:eastAsia="ru-RU" w:bidi="ar-SA"/>
    </w:rPr>
  </w:style>
  <w:style w:type="character" w:customStyle="1" w:styleId="247">
    <w:name w:val="Текст Знак1"/>
    <w:semiHidden/>
    <w:qFormat/>
    <w:uiPriority w:val="99"/>
    <w:rPr>
      <w:rFonts w:ascii="Consolas" w:hAnsi="Consolas"/>
      <w:sz w:val="21"/>
      <w:szCs w:val="21"/>
    </w:rPr>
  </w:style>
  <w:style w:type="character" w:customStyle="1" w:styleId="248">
    <w:name w:val="Основной текст 2 Знак1"/>
    <w:basedOn w:val="11"/>
    <w:qFormat/>
    <w:uiPriority w:val="0"/>
  </w:style>
  <w:style w:type="character" w:customStyle="1" w:styleId="249">
    <w:name w:val="Стандартный HTML Знак1"/>
    <w:semiHidden/>
    <w:qFormat/>
    <w:uiPriority w:val="99"/>
    <w:rPr>
      <w:rFonts w:ascii="Consolas" w:hAnsi="Consolas"/>
      <w:sz w:val="20"/>
      <w:szCs w:val="20"/>
    </w:rPr>
  </w:style>
  <w:style w:type="character" w:customStyle="1" w:styleId="250">
    <w:name w:val="Красная строка Знак1"/>
    <w:semiHidden/>
    <w:qFormat/>
    <w:uiPriority w:val="99"/>
    <w:rPr>
      <w:rFonts w:ascii="Times New Roman" w:hAnsi="Times New Roman" w:eastAsia="Times New Roman" w:cs="Times New Roman"/>
      <w:b/>
      <w:snapToGrid w:val="0"/>
      <w:kern w:val="0"/>
      <w:sz w:val="28"/>
      <w:szCs w:val="20"/>
      <w:lang w:eastAsia="ru-RU"/>
    </w:rPr>
  </w:style>
  <w:style w:type="paragraph" w:styleId="251">
    <w:name w:val="No Spacing"/>
    <w:link w:val="501"/>
    <w:qFormat/>
    <w:uiPriority w:val="1"/>
    <w:pPr>
      <w:spacing w:after="160" w:line="259" w:lineRule="auto"/>
    </w:pPr>
    <w:rPr>
      <w:rFonts w:ascii="Calibri" w:hAnsi="Calibri" w:eastAsia="Times New Roman" w:cs="Times New Roman"/>
      <w:sz w:val="22"/>
      <w:szCs w:val="22"/>
      <w:lang w:val="ru-RU" w:eastAsia="ru-RU" w:bidi="ar-SA"/>
    </w:rPr>
  </w:style>
  <w:style w:type="paragraph" w:customStyle="1" w:styleId="252">
    <w:name w:val="Рецензия1"/>
    <w:hidden/>
    <w:qFormat/>
    <w:uiPriority w:val="99"/>
    <w:pPr>
      <w:spacing w:after="160" w:line="259" w:lineRule="auto"/>
    </w:pPr>
    <w:rPr>
      <w:rFonts w:ascii="Calibri" w:hAnsi="Calibri" w:eastAsia="Calibri" w:cs="Times New Roman"/>
      <w:sz w:val="22"/>
      <w:szCs w:val="22"/>
      <w:lang w:val="ru-RU" w:eastAsia="en-US" w:bidi="ar-SA"/>
    </w:rPr>
  </w:style>
  <w:style w:type="paragraph" w:customStyle="1" w:styleId="253">
    <w:name w:val="bodytext"/>
    <w:basedOn w:val="1"/>
    <w:qFormat/>
    <w:uiPriority w:val="0"/>
    <w:pPr>
      <w:spacing w:before="100" w:beforeAutospacing="1" w:after="100" w:afterAutospacing="1" w:line="240" w:lineRule="auto"/>
    </w:pPr>
    <w:rPr>
      <w:rFonts w:eastAsia="Times New Roman"/>
      <w:kern w:val="0"/>
      <w:lang w:eastAsia="ru-RU"/>
    </w:rPr>
  </w:style>
  <w:style w:type="paragraph" w:customStyle="1" w:styleId="254">
    <w:name w:val="Знак Знак Char Char Знак Знак Char Char"/>
    <w:basedOn w:val="1"/>
    <w:qFormat/>
    <w:uiPriority w:val="0"/>
    <w:pPr>
      <w:spacing w:after="160" w:line="240" w:lineRule="exact"/>
    </w:pPr>
    <w:rPr>
      <w:rFonts w:ascii="Verdana" w:hAnsi="Verdana" w:eastAsia="Times New Roman" w:cs="Verdana"/>
      <w:kern w:val="0"/>
      <w:sz w:val="20"/>
      <w:szCs w:val="20"/>
      <w:lang w:val="en-US"/>
    </w:rPr>
  </w:style>
  <w:style w:type="paragraph" w:customStyle="1" w:styleId="255">
    <w:name w:val="font12"/>
    <w:basedOn w:val="1"/>
    <w:qFormat/>
    <w:uiPriority w:val="0"/>
    <w:pPr>
      <w:spacing w:before="100" w:beforeAutospacing="1" w:after="100" w:afterAutospacing="1" w:line="240" w:lineRule="auto"/>
    </w:pPr>
    <w:rPr>
      <w:rFonts w:ascii="Tahoma" w:hAnsi="Tahoma" w:eastAsia="Times New Roman" w:cs="Tahoma"/>
      <w:b/>
      <w:bCs/>
      <w:color w:val="000000"/>
      <w:kern w:val="0"/>
      <w:sz w:val="16"/>
      <w:szCs w:val="16"/>
      <w:lang w:eastAsia="ru-RU"/>
    </w:rPr>
  </w:style>
  <w:style w:type="paragraph" w:customStyle="1" w:styleId="256">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color w:val="0000CC"/>
      <w:kern w:val="0"/>
      <w:sz w:val="20"/>
      <w:szCs w:val="20"/>
      <w:lang w:eastAsia="ru-RU"/>
    </w:rPr>
  </w:style>
  <w:style w:type="paragraph" w:customStyle="1" w:styleId="257">
    <w:name w:val="xl105"/>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58">
    <w:name w:val="xl106"/>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259">
    <w:name w:val="xl107"/>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0">
    <w:name w:val="xl108"/>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textAlignment w:val="center"/>
    </w:pPr>
    <w:rPr>
      <w:rFonts w:eastAsia="Times New Roman"/>
      <w:kern w:val="0"/>
      <w:sz w:val="20"/>
      <w:szCs w:val="20"/>
      <w:lang w:eastAsia="ru-RU"/>
    </w:rPr>
  </w:style>
  <w:style w:type="paragraph" w:customStyle="1" w:styleId="261">
    <w:name w:val="xl109"/>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2">
    <w:name w:val="xl110"/>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3">
    <w:name w:val="xl111"/>
    <w:basedOn w:val="1"/>
    <w:qFormat/>
    <w:uiPriority w:val="0"/>
    <w:pP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4">
    <w:name w:val="xl112"/>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265">
    <w:name w:val="xl113"/>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6">
    <w:name w:val="xl114"/>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7">
    <w:name w:val="xl115"/>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68">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lang w:eastAsia="ru-RU"/>
    </w:rPr>
  </w:style>
  <w:style w:type="paragraph" w:customStyle="1" w:styleId="269">
    <w:name w:val="xl117"/>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0">
    <w:name w:val="xl118"/>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1">
    <w:name w:val="xl119"/>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2">
    <w:name w:val="xl120"/>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273">
    <w:name w:val="xl12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274">
    <w:name w:val="xl122"/>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5">
    <w:name w:val="xl12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6">
    <w:name w:val="xl124"/>
    <w:basedOn w:val="1"/>
    <w:qFormat/>
    <w:uiPriority w:val="0"/>
    <w:pPr>
      <w:pBdr>
        <w:top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7">
    <w:name w:val="xl125"/>
    <w:basedOn w:val="1"/>
    <w:qFormat/>
    <w:uiPriority w:val="0"/>
    <w:pPr>
      <w:pBdr>
        <w:top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78">
    <w:name w:val="Знак"/>
    <w:basedOn w:val="1"/>
    <w:qFormat/>
    <w:uiPriority w:val="0"/>
    <w:pPr>
      <w:spacing w:before="100" w:beforeAutospacing="1" w:after="100" w:afterAutospacing="1" w:line="240" w:lineRule="auto"/>
      <w:ind w:firstLine="851"/>
      <w:jc w:val="both"/>
    </w:pPr>
    <w:rPr>
      <w:rFonts w:ascii="Tahoma" w:hAnsi="Tahoma" w:eastAsia="Times New Roman"/>
      <w:bCs/>
      <w:kern w:val="0"/>
      <w:sz w:val="20"/>
      <w:szCs w:val="20"/>
      <w:lang w:val="en-US"/>
    </w:rPr>
  </w:style>
  <w:style w:type="character" w:customStyle="1" w:styleId="279">
    <w:name w:val="mw-editsection-bracket"/>
    <w:basedOn w:val="11"/>
    <w:qFormat/>
    <w:uiPriority w:val="0"/>
  </w:style>
  <w:style w:type="character" w:customStyle="1" w:styleId="280">
    <w:name w:val="mw-editsection-divider"/>
    <w:basedOn w:val="11"/>
    <w:qFormat/>
    <w:uiPriority w:val="0"/>
  </w:style>
  <w:style w:type="paragraph" w:customStyle="1" w:styleId="281">
    <w:name w:val="Текстовка"/>
    <w:qFormat/>
    <w:uiPriority w:val="0"/>
    <w:pPr>
      <w:suppressAutoHyphens/>
      <w:spacing w:after="160" w:line="259" w:lineRule="auto"/>
      <w:ind w:firstLine="851"/>
      <w:jc w:val="both"/>
    </w:pPr>
    <w:rPr>
      <w:rFonts w:ascii="Times New Roman" w:hAnsi="Times New Roman" w:eastAsia="Arial" w:cs="Times New Roman"/>
      <w:kern w:val="1"/>
      <w:sz w:val="28"/>
      <w:lang w:val="ru-RU" w:eastAsia="ar-SA" w:bidi="ar-SA"/>
    </w:rPr>
  </w:style>
  <w:style w:type="paragraph" w:customStyle="1" w:styleId="282">
    <w:name w:val="Абзац"/>
    <w:basedOn w:val="1"/>
    <w:link w:val="377"/>
    <w:qFormat/>
    <w:uiPriority w:val="0"/>
    <w:pPr>
      <w:suppressAutoHyphens/>
      <w:spacing w:after="0" w:line="360" w:lineRule="auto"/>
      <w:ind w:firstLine="720"/>
      <w:jc w:val="both"/>
    </w:pPr>
    <w:rPr>
      <w:rFonts w:eastAsia="Times New Roman"/>
      <w:kern w:val="0"/>
      <w:sz w:val="26"/>
      <w:szCs w:val="20"/>
      <w:lang w:eastAsia="ar-SA"/>
    </w:rPr>
  </w:style>
  <w:style w:type="paragraph" w:customStyle="1" w:styleId="283">
    <w:name w:val="Обычный2"/>
    <w:qFormat/>
    <w:uiPriority w:val="0"/>
    <w:pPr>
      <w:spacing w:after="160" w:line="300" w:lineRule="auto"/>
      <w:ind w:left="1000"/>
      <w:jc w:val="right"/>
    </w:pPr>
    <w:rPr>
      <w:rFonts w:ascii="Times New Roman" w:hAnsi="Times New Roman" w:eastAsia="Times New Roman" w:cs="Times New Roman"/>
      <w:snapToGrid w:val="0"/>
      <w:sz w:val="24"/>
      <w:lang w:val="ru-RU" w:eastAsia="ru-RU" w:bidi="ar-SA"/>
    </w:rPr>
  </w:style>
  <w:style w:type="table" w:customStyle="1" w:styleId="284">
    <w:name w:val="Сетка таблицы2"/>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85">
    <w:name w:val="Сетка таблицы11"/>
    <w:basedOn w:val="12"/>
    <w:qFormat/>
    <w:uiPriority w:val="59"/>
    <w:pPr>
      <w:ind w:firstLine="851"/>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
    <w:name w:val="Сетка таблицы3"/>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87">
    <w:name w:val="Сетка таблицы12"/>
    <w:basedOn w:val="12"/>
    <w:qFormat/>
    <w:uiPriority w:val="59"/>
    <w:pPr>
      <w:ind w:firstLine="851"/>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8">
    <w:name w:val="Сетка таблицы4"/>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89">
    <w:name w:val="Сетка таблицы5"/>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90">
    <w:name w:val="company-bold"/>
    <w:basedOn w:val="11"/>
    <w:qFormat/>
    <w:uiPriority w:val="0"/>
  </w:style>
  <w:style w:type="paragraph" w:customStyle="1" w:styleId="291">
    <w:name w:val="info"/>
    <w:basedOn w:val="1"/>
    <w:qFormat/>
    <w:uiPriority w:val="0"/>
    <w:pPr>
      <w:spacing w:before="100" w:beforeAutospacing="1" w:after="100" w:afterAutospacing="1" w:line="240" w:lineRule="auto"/>
    </w:pPr>
    <w:rPr>
      <w:rFonts w:eastAsia="Times New Roman"/>
      <w:kern w:val="0"/>
      <w:lang w:eastAsia="ru-RU"/>
    </w:rPr>
  </w:style>
  <w:style w:type="character" w:customStyle="1" w:styleId="292">
    <w:name w:val="small-arrow"/>
    <w:basedOn w:val="11"/>
    <w:qFormat/>
    <w:uiPriority w:val="0"/>
  </w:style>
  <w:style w:type="character" w:customStyle="1" w:styleId="293">
    <w:name w:val="Font Style49"/>
    <w:qFormat/>
    <w:uiPriority w:val="0"/>
    <w:rPr>
      <w:rFonts w:ascii="Times New Roman" w:hAnsi="Times New Roman" w:cs="Times New Roman"/>
      <w:b/>
      <w:bCs/>
      <w:sz w:val="12"/>
      <w:szCs w:val="12"/>
    </w:rPr>
  </w:style>
  <w:style w:type="character" w:customStyle="1" w:styleId="294">
    <w:name w:val="Заголовок 7 Знак"/>
    <w:link w:val="8"/>
    <w:qFormat/>
    <w:uiPriority w:val="0"/>
    <w:rPr>
      <w:rFonts w:ascii="Calibri" w:hAnsi="Calibri" w:eastAsia="Times New Roman"/>
      <w:sz w:val="24"/>
      <w:szCs w:val="24"/>
    </w:rPr>
  </w:style>
  <w:style w:type="paragraph" w:customStyle="1" w:styleId="295">
    <w:name w:val="Основной текст 21"/>
    <w:basedOn w:val="1"/>
    <w:qFormat/>
    <w:uiPriority w:val="0"/>
    <w:pPr>
      <w:widowControl w:val="0"/>
      <w:suppressAutoHyphens/>
      <w:spacing w:after="0" w:line="240" w:lineRule="auto"/>
    </w:pPr>
    <w:rPr>
      <w:rFonts w:ascii="Arial" w:hAnsi="Arial" w:eastAsia="Lucida Sans Unicode"/>
      <w:b/>
      <w:bCs/>
      <w:kern w:val="1"/>
      <w:sz w:val="28"/>
      <w:lang w:eastAsia="ar-SA"/>
    </w:rPr>
  </w:style>
  <w:style w:type="character" w:customStyle="1" w:styleId="296">
    <w:name w:val="Маркированный список Знак"/>
    <w:link w:val="69"/>
    <w:qFormat/>
    <w:locked/>
    <w:uiPriority w:val="99"/>
    <w:rPr>
      <w:rFonts w:ascii="Times New Roman" w:hAnsi="Times New Roman" w:eastAsia="Calibri" w:cs="Times New Roman"/>
      <w:sz w:val="26"/>
      <w:szCs w:val="26"/>
      <w:lang w:eastAsia="en-US"/>
    </w:rPr>
  </w:style>
  <w:style w:type="table" w:customStyle="1" w:styleId="297">
    <w:name w:val="Сетка таблицы6"/>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
    <w:name w:val="Сетка таблицы7"/>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9">
    <w:name w:val="Красная строка4"/>
    <w:basedOn w:val="56"/>
    <w:qFormat/>
    <w:uiPriority w:val="0"/>
    <w:pPr>
      <w:widowControl/>
      <w:suppressAutoHyphens/>
      <w:spacing w:after="120"/>
      <w:ind w:firstLine="210"/>
      <w:jc w:val="left"/>
    </w:pPr>
    <w:rPr>
      <w:b w:val="0"/>
      <w:snapToGrid/>
      <w:sz w:val="24"/>
      <w:szCs w:val="24"/>
      <w:lang w:eastAsia="ar-SA"/>
    </w:rPr>
  </w:style>
  <w:style w:type="character" w:customStyle="1" w:styleId="300">
    <w:name w:val="ucoz-forum-post"/>
    <w:qFormat/>
    <w:uiPriority w:val="0"/>
  </w:style>
  <w:style w:type="paragraph" w:customStyle="1" w:styleId="301">
    <w:name w:val="Основной текст с отступом 23"/>
    <w:basedOn w:val="1"/>
    <w:qFormat/>
    <w:uiPriority w:val="0"/>
    <w:pPr>
      <w:suppressAutoHyphens/>
      <w:spacing w:after="0" w:line="240" w:lineRule="auto"/>
      <w:ind w:left="360"/>
      <w:jc w:val="both"/>
    </w:pPr>
    <w:rPr>
      <w:rFonts w:ascii="Arial" w:hAnsi="Arial" w:eastAsia="Times New Roman" w:cs="Arial"/>
      <w:kern w:val="0"/>
      <w:sz w:val="26"/>
      <w:szCs w:val="26"/>
      <w:lang w:eastAsia="ar-SA"/>
    </w:rPr>
  </w:style>
  <w:style w:type="paragraph" w:customStyle="1" w:styleId="302">
    <w:name w:val="caaieiaie 1"/>
    <w:basedOn w:val="1"/>
    <w:next w:val="1"/>
    <w:qFormat/>
    <w:uiPriority w:val="0"/>
    <w:pPr>
      <w:keepNext/>
      <w:spacing w:before="240" w:after="60" w:line="240" w:lineRule="auto"/>
      <w:jc w:val="center"/>
    </w:pPr>
    <w:rPr>
      <w:rFonts w:ascii="Arial" w:hAnsi="Arial" w:eastAsia="Times New Roman"/>
      <w:b/>
      <w:kern w:val="28"/>
      <w:sz w:val="32"/>
      <w:szCs w:val="20"/>
      <w:lang w:eastAsia="ru-RU"/>
    </w:rPr>
  </w:style>
  <w:style w:type="character" w:customStyle="1" w:styleId="303">
    <w:name w:val="Iniiaiie o?eoo"/>
    <w:qFormat/>
    <w:uiPriority w:val="0"/>
  </w:style>
  <w:style w:type="character" w:customStyle="1" w:styleId="304">
    <w:name w:val="iiia? no?aieou"/>
    <w:qFormat/>
    <w:uiPriority w:val="0"/>
  </w:style>
  <w:style w:type="table" w:customStyle="1" w:styleId="305">
    <w:name w:val="Сетка таблицы8"/>
    <w:basedOn w:val="12"/>
    <w:qFormat/>
    <w:uiPriority w:val="59"/>
    <w:rPr>
      <w:rFonts w:eastAsia="Times New Roman"/>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6">
    <w:name w:val="Основной текст 22"/>
    <w:basedOn w:val="1"/>
    <w:qFormat/>
    <w:uiPriority w:val="0"/>
    <w:pPr>
      <w:suppressAutoHyphens/>
      <w:spacing w:after="0" w:line="240" w:lineRule="auto"/>
    </w:pPr>
    <w:rPr>
      <w:rFonts w:eastAsia="Times New Roman"/>
      <w:b/>
      <w:bCs/>
      <w:kern w:val="0"/>
      <w:sz w:val="28"/>
      <w:lang w:eastAsia="ar-SA"/>
    </w:rPr>
  </w:style>
  <w:style w:type="table" w:customStyle="1" w:styleId="307">
    <w:name w:val="Сетка таблицы9"/>
    <w:basedOn w:val="12"/>
    <w:qFormat/>
    <w:uiPriority w:val="0"/>
    <w:rPr>
      <w:kern w:val="2"/>
      <w:sz w:val="24"/>
      <w:szCs w:val="24"/>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08">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lang w:eastAsia="ru-RU"/>
    </w:rPr>
  </w:style>
  <w:style w:type="paragraph" w:customStyle="1" w:styleId="309">
    <w:name w:val="xl64"/>
    <w:basedOn w:val="1"/>
    <w:qFormat/>
    <w:uiPriority w:val="0"/>
    <w:pPr>
      <w:spacing w:before="100" w:beforeAutospacing="1" w:after="100" w:afterAutospacing="1" w:line="240" w:lineRule="auto"/>
      <w:jc w:val="center"/>
      <w:textAlignment w:val="center"/>
    </w:pPr>
    <w:rPr>
      <w:rFonts w:eastAsia="Times New Roman"/>
      <w:kern w:val="0"/>
      <w:lang w:eastAsia="ru-RU"/>
    </w:rPr>
  </w:style>
  <w:style w:type="paragraph" w:customStyle="1" w:styleId="310">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lang w:eastAsia="ru-RU"/>
    </w:rPr>
  </w:style>
  <w:style w:type="paragraph" w:customStyle="1" w:styleId="311">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lang w:eastAsia="ru-RU"/>
    </w:rPr>
  </w:style>
  <w:style w:type="paragraph" w:customStyle="1" w:styleId="312">
    <w:name w:val="xl67"/>
    <w:basedOn w:val="1"/>
    <w:qFormat/>
    <w:uiPriority w:val="0"/>
    <w:pPr>
      <w:spacing w:before="100" w:beforeAutospacing="1" w:after="100" w:afterAutospacing="1" w:line="240" w:lineRule="auto"/>
    </w:pPr>
    <w:rPr>
      <w:rFonts w:eastAsia="Times New Roman"/>
      <w:b/>
      <w:bCs/>
      <w:kern w:val="0"/>
      <w:lang w:eastAsia="ru-RU"/>
    </w:rPr>
  </w:style>
  <w:style w:type="paragraph" w:customStyle="1" w:styleId="313">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eastAsia="Times New Roman"/>
      <w:kern w:val="0"/>
      <w:lang w:eastAsia="ru-RU"/>
    </w:rPr>
  </w:style>
  <w:style w:type="paragraph" w:customStyle="1" w:styleId="314">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kern w:val="0"/>
      <w:lang w:eastAsia="ru-RU"/>
    </w:rPr>
  </w:style>
  <w:style w:type="table" w:customStyle="1" w:styleId="315">
    <w:name w:val="Сетка таблицы10"/>
    <w:basedOn w:val="12"/>
    <w:qFormat/>
    <w:uiPriority w:val="59"/>
    <w:rPr>
      <w:rFonts w:ascii="Calibri" w:hAnsi="Calibri"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16">
    <w:name w:val="WW8Num40z1"/>
    <w:qFormat/>
    <w:uiPriority w:val="0"/>
    <w:rPr>
      <w:rFonts w:ascii="Wingdings 2" w:hAnsi="Wingdings 2"/>
    </w:rPr>
  </w:style>
  <w:style w:type="character" w:customStyle="1" w:styleId="317">
    <w:name w:val="Название объекта Знак"/>
    <w:link w:val="43"/>
    <w:qFormat/>
    <w:locked/>
    <w:uiPriority w:val="0"/>
    <w:rPr>
      <w:b/>
      <w:bCs/>
      <w:color w:val="4F81BD"/>
      <w:kern w:val="2"/>
      <w:sz w:val="18"/>
      <w:szCs w:val="18"/>
      <w:lang w:eastAsia="en-US"/>
    </w:rPr>
  </w:style>
  <w:style w:type="paragraph" w:customStyle="1" w:styleId="318">
    <w:name w:val="S_Обычный"/>
    <w:basedOn w:val="1"/>
    <w:link w:val="765"/>
    <w:qFormat/>
    <w:uiPriority w:val="0"/>
    <w:pPr>
      <w:spacing w:after="0" w:line="360" w:lineRule="auto"/>
      <w:ind w:firstLine="709"/>
      <w:jc w:val="both"/>
    </w:pPr>
    <w:rPr>
      <w:rFonts w:eastAsia="Times New Roman"/>
      <w:kern w:val="0"/>
      <w:lang w:eastAsia="ar-SA"/>
    </w:rPr>
  </w:style>
  <w:style w:type="character" w:customStyle="1" w:styleId="319">
    <w:name w:val="S_Обычный Знак Знак"/>
    <w:qFormat/>
    <w:uiPriority w:val="0"/>
    <w:rPr>
      <w:sz w:val="24"/>
      <w:szCs w:val="24"/>
      <w:lang w:val="ru-RU" w:eastAsia="ar-SA" w:bidi="ar-SA"/>
    </w:rPr>
  </w:style>
  <w:style w:type="paragraph" w:customStyle="1" w:styleId="320">
    <w:name w:val="S_Заголовок 2"/>
    <w:basedOn w:val="3"/>
    <w:qFormat/>
    <w:uiPriority w:val="0"/>
    <w:pPr>
      <w:keepNext w:val="0"/>
      <w:tabs>
        <w:tab w:val="left" w:pos="576"/>
      </w:tabs>
      <w:spacing w:before="0" w:after="0"/>
      <w:ind w:left="792" w:hanging="432"/>
      <w:jc w:val="both"/>
    </w:pPr>
    <w:rPr>
      <w:rFonts w:ascii="Times New Roman" w:hAnsi="Times New Roman"/>
      <w:bCs w:val="0"/>
      <w:i w:val="0"/>
      <w:iCs w:val="0"/>
      <w:sz w:val="24"/>
      <w:szCs w:val="24"/>
      <w:lang w:eastAsia="ar-SA"/>
    </w:rPr>
  </w:style>
  <w:style w:type="paragraph" w:customStyle="1" w:styleId="321">
    <w:name w:val="быстротабличный"/>
    <w:basedOn w:val="1"/>
    <w:next w:val="1"/>
    <w:qFormat/>
    <w:uiPriority w:val="0"/>
    <w:pPr>
      <w:keepLines/>
      <w:spacing w:after="0" w:line="240" w:lineRule="auto"/>
      <w:jc w:val="both"/>
    </w:pPr>
    <w:rPr>
      <w:rFonts w:eastAsia="Times New Roman"/>
      <w:b/>
      <w:sz w:val="20"/>
      <w:szCs w:val="20"/>
    </w:rPr>
  </w:style>
  <w:style w:type="character" w:customStyle="1" w:styleId="322">
    <w:name w:val="Заголовок 8 Знак"/>
    <w:link w:val="9"/>
    <w:qFormat/>
    <w:uiPriority w:val="0"/>
    <w:rPr>
      <w:rFonts w:eastAsia="Times New Roman"/>
      <w:i/>
      <w:iCs/>
      <w:sz w:val="24"/>
      <w:szCs w:val="24"/>
      <w:lang w:val="en-US"/>
    </w:rPr>
  </w:style>
  <w:style w:type="paragraph" w:customStyle="1" w:styleId="323">
    <w:name w:val="Знак Знак Знак Знак Знак1 Знак Знак Знак Знак"/>
    <w:basedOn w:val="1"/>
    <w:qFormat/>
    <w:uiPriority w:val="0"/>
    <w:pPr>
      <w:widowControl w:val="0"/>
      <w:adjustRightInd w:val="0"/>
      <w:spacing w:after="160" w:line="240" w:lineRule="exact"/>
      <w:ind w:firstLine="709"/>
      <w:jc w:val="right"/>
    </w:pPr>
    <w:rPr>
      <w:kern w:val="0"/>
      <w:sz w:val="20"/>
      <w:szCs w:val="20"/>
      <w:lang w:val="en-GB"/>
    </w:rPr>
  </w:style>
  <w:style w:type="paragraph" w:customStyle="1" w:styleId="324">
    <w:name w:val="rvps59"/>
    <w:basedOn w:val="1"/>
    <w:qFormat/>
    <w:uiPriority w:val="0"/>
    <w:pPr>
      <w:spacing w:after="0" w:line="240" w:lineRule="auto"/>
      <w:ind w:firstLine="705"/>
      <w:jc w:val="both"/>
    </w:pPr>
    <w:rPr>
      <w:kern w:val="0"/>
      <w:lang w:eastAsia="ru-RU"/>
    </w:rPr>
  </w:style>
  <w:style w:type="paragraph" w:customStyle="1" w:styleId="325">
    <w:name w:val="rvps61"/>
    <w:basedOn w:val="1"/>
    <w:qFormat/>
    <w:uiPriority w:val="0"/>
    <w:pPr>
      <w:spacing w:after="0" w:line="240" w:lineRule="auto"/>
      <w:ind w:firstLine="705"/>
      <w:jc w:val="center"/>
    </w:pPr>
    <w:rPr>
      <w:kern w:val="0"/>
      <w:lang w:eastAsia="ru-RU"/>
    </w:rPr>
  </w:style>
  <w:style w:type="character" w:customStyle="1" w:styleId="326">
    <w:name w:val="rvts24"/>
    <w:qFormat/>
    <w:uiPriority w:val="0"/>
    <w:rPr>
      <w:rFonts w:ascii="Times New Roman" w:hAnsi="Times New Roman" w:cs="Times New Roman"/>
      <w:sz w:val="24"/>
      <w:szCs w:val="24"/>
    </w:rPr>
  </w:style>
  <w:style w:type="paragraph" w:customStyle="1" w:styleId="327">
    <w:name w:val="Заголовок статьи"/>
    <w:basedOn w:val="1"/>
    <w:next w:val="1"/>
    <w:qFormat/>
    <w:uiPriority w:val="0"/>
    <w:pPr>
      <w:widowControl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customStyle="1" w:styleId="328">
    <w:name w:val="rvps1"/>
    <w:basedOn w:val="1"/>
    <w:qFormat/>
    <w:uiPriority w:val="0"/>
    <w:pPr>
      <w:spacing w:after="0" w:line="240" w:lineRule="auto"/>
      <w:ind w:firstLine="709"/>
      <w:jc w:val="center"/>
    </w:pPr>
    <w:rPr>
      <w:kern w:val="0"/>
      <w:lang w:eastAsia="ru-RU"/>
    </w:rPr>
  </w:style>
  <w:style w:type="character" w:customStyle="1" w:styleId="329">
    <w:name w:val="rvts21"/>
    <w:qFormat/>
    <w:uiPriority w:val="0"/>
    <w:rPr>
      <w:rFonts w:ascii="Times New Roman" w:hAnsi="Times New Roman" w:cs="Times New Roman"/>
      <w:color w:val="000000"/>
      <w:sz w:val="24"/>
      <w:szCs w:val="24"/>
    </w:rPr>
  </w:style>
  <w:style w:type="character" w:customStyle="1" w:styleId="330">
    <w:name w:val="rvts97"/>
    <w:qFormat/>
    <w:uiPriority w:val="0"/>
    <w:rPr>
      <w:rFonts w:ascii="Times New Roman" w:hAnsi="Times New Roman" w:cs="Times New Roman"/>
      <w:color w:val="000000"/>
      <w:sz w:val="24"/>
      <w:szCs w:val="24"/>
    </w:rPr>
  </w:style>
  <w:style w:type="paragraph" w:customStyle="1" w:styleId="331">
    <w:name w:val="rvps7"/>
    <w:basedOn w:val="1"/>
    <w:qFormat/>
    <w:uiPriority w:val="0"/>
    <w:pPr>
      <w:spacing w:after="0" w:line="240" w:lineRule="auto"/>
      <w:ind w:left="150" w:right="150" w:firstLine="709"/>
      <w:jc w:val="both"/>
    </w:pPr>
    <w:rPr>
      <w:kern w:val="0"/>
      <w:lang w:eastAsia="ru-RU"/>
    </w:rPr>
  </w:style>
  <w:style w:type="paragraph" w:customStyle="1" w:styleId="332">
    <w:name w:val="основной текст"/>
    <w:basedOn w:val="1"/>
    <w:qFormat/>
    <w:uiPriority w:val="0"/>
    <w:pPr>
      <w:spacing w:after="120" w:line="240" w:lineRule="auto"/>
      <w:ind w:firstLine="851"/>
      <w:jc w:val="both"/>
    </w:pPr>
    <w:rPr>
      <w:rFonts w:ascii="Arial" w:hAnsi="Arial"/>
      <w:kern w:val="0"/>
      <w:sz w:val="28"/>
      <w:szCs w:val="20"/>
      <w:lang w:eastAsia="ru-RU"/>
    </w:rPr>
  </w:style>
  <w:style w:type="paragraph" w:customStyle="1" w:styleId="333">
    <w:name w:val="осн.текст 12 Знак"/>
    <w:basedOn w:val="1"/>
    <w:link w:val="334"/>
    <w:qFormat/>
    <w:uiPriority w:val="0"/>
    <w:pPr>
      <w:spacing w:after="120" w:line="240" w:lineRule="auto"/>
      <w:ind w:firstLine="851"/>
      <w:jc w:val="both"/>
    </w:pPr>
    <w:rPr>
      <w:rFonts w:ascii="Arial" w:hAnsi="Arial"/>
      <w:kern w:val="0"/>
      <w:szCs w:val="20"/>
      <w:lang w:eastAsia="ru-RU"/>
    </w:rPr>
  </w:style>
  <w:style w:type="character" w:customStyle="1" w:styleId="334">
    <w:name w:val="осн.текст 12 Знак Знак"/>
    <w:link w:val="333"/>
    <w:qFormat/>
    <w:locked/>
    <w:uiPriority w:val="0"/>
    <w:rPr>
      <w:rFonts w:ascii="Arial" w:hAnsi="Arial"/>
      <w:sz w:val="24"/>
    </w:rPr>
  </w:style>
  <w:style w:type="paragraph" w:customStyle="1" w:styleId="335">
    <w:name w:val="осн.текст 12"/>
    <w:basedOn w:val="1"/>
    <w:qFormat/>
    <w:uiPriority w:val="0"/>
    <w:pPr>
      <w:spacing w:after="120" w:line="240" w:lineRule="auto"/>
      <w:ind w:firstLine="851"/>
      <w:jc w:val="both"/>
    </w:pPr>
    <w:rPr>
      <w:rFonts w:ascii="Arial" w:hAnsi="Arial"/>
      <w:kern w:val="0"/>
      <w:szCs w:val="20"/>
      <w:lang w:eastAsia="ru-RU"/>
    </w:rPr>
  </w:style>
  <w:style w:type="paragraph" w:customStyle="1" w:styleId="336">
    <w:name w:val="a_Header"/>
    <w:basedOn w:val="1"/>
    <w:qFormat/>
    <w:uiPriority w:val="0"/>
    <w:pPr>
      <w:tabs>
        <w:tab w:val="left" w:pos="1985"/>
      </w:tabs>
      <w:spacing w:after="60" w:line="240" w:lineRule="auto"/>
      <w:jc w:val="center"/>
    </w:pPr>
    <w:rPr>
      <w:rFonts w:ascii="Courier New" w:hAnsi="Courier New"/>
      <w:kern w:val="0"/>
      <w:szCs w:val="20"/>
      <w:lang w:eastAsia="ru-RU"/>
    </w:rPr>
  </w:style>
  <w:style w:type="paragraph" w:customStyle="1" w:styleId="337">
    <w:name w:val="основной текст Знак"/>
    <w:basedOn w:val="1"/>
    <w:qFormat/>
    <w:uiPriority w:val="0"/>
    <w:pPr>
      <w:spacing w:after="120" w:line="240" w:lineRule="auto"/>
      <w:ind w:firstLine="851"/>
      <w:jc w:val="both"/>
    </w:pPr>
    <w:rPr>
      <w:rFonts w:ascii="Arial" w:hAnsi="Arial"/>
      <w:kern w:val="0"/>
      <w:sz w:val="28"/>
      <w:szCs w:val="20"/>
      <w:lang w:eastAsia="ru-RU"/>
    </w:rPr>
  </w:style>
  <w:style w:type="character" w:customStyle="1" w:styleId="338">
    <w:name w:val="Основной текст 3 Знак"/>
    <w:link w:val="80"/>
    <w:qFormat/>
    <w:uiPriority w:val="0"/>
    <w:rPr>
      <w:sz w:val="16"/>
      <w:szCs w:val="16"/>
      <w:lang w:val="en-US"/>
    </w:rPr>
  </w:style>
  <w:style w:type="paragraph" w:customStyle="1" w:styleId="339">
    <w:name w:val="FR2"/>
    <w:qFormat/>
    <w:uiPriority w:val="0"/>
    <w:pPr>
      <w:widowControl w:val="0"/>
      <w:autoSpaceDE w:val="0"/>
      <w:autoSpaceDN w:val="0"/>
      <w:adjustRightInd w:val="0"/>
      <w:spacing w:after="160" w:line="259" w:lineRule="auto"/>
    </w:pPr>
    <w:rPr>
      <w:rFonts w:ascii="Times New Roman" w:hAnsi="Times New Roman" w:eastAsia="Calibri" w:cs="Times New Roman"/>
      <w:sz w:val="28"/>
      <w:szCs w:val="28"/>
      <w:lang w:val="ru-RU" w:eastAsia="ru-RU" w:bidi="ar-SA"/>
    </w:rPr>
  </w:style>
  <w:style w:type="paragraph" w:customStyle="1" w:styleId="340">
    <w:name w:val="Знак Знак Знак"/>
    <w:basedOn w:val="1"/>
    <w:qFormat/>
    <w:uiPriority w:val="0"/>
    <w:pPr>
      <w:widowControl w:val="0"/>
      <w:adjustRightInd w:val="0"/>
      <w:spacing w:after="160" w:line="240" w:lineRule="exact"/>
      <w:jc w:val="right"/>
    </w:pPr>
    <w:rPr>
      <w:kern w:val="0"/>
      <w:sz w:val="20"/>
      <w:szCs w:val="20"/>
      <w:lang w:val="en-GB"/>
    </w:rPr>
  </w:style>
  <w:style w:type="paragraph" w:customStyle="1" w:styleId="341">
    <w:name w:val="text"/>
    <w:basedOn w:val="1"/>
    <w:qFormat/>
    <w:uiPriority w:val="0"/>
    <w:pPr>
      <w:spacing w:after="0" w:line="240" w:lineRule="auto"/>
      <w:ind w:firstLine="567"/>
      <w:jc w:val="both"/>
    </w:pPr>
    <w:rPr>
      <w:rFonts w:ascii="Arial" w:hAnsi="Arial" w:eastAsia="Times New Roman" w:cs="Arial"/>
      <w:kern w:val="0"/>
      <w:lang w:eastAsia="ru-RU"/>
    </w:rPr>
  </w:style>
  <w:style w:type="paragraph" w:customStyle="1" w:styleId="342">
    <w:name w:val="Верхний колонтит.3л"/>
    <w:basedOn w:val="1"/>
    <w:qFormat/>
    <w:uiPriority w:val="0"/>
    <w:pPr>
      <w:tabs>
        <w:tab w:val="center" w:pos="4153"/>
        <w:tab w:val="right" w:pos="8306"/>
      </w:tabs>
      <w:spacing w:after="0" w:line="240" w:lineRule="auto"/>
    </w:pPr>
    <w:rPr>
      <w:rFonts w:eastAsia="Times New Roman"/>
      <w:kern w:val="0"/>
      <w:sz w:val="26"/>
      <w:szCs w:val="20"/>
      <w:lang w:eastAsia="ru-RU"/>
    </w:rPr>
  </w:style>
  <w:style w:type="paragraph" w:customStyle="1" w:styleId="343">
    <w:name w:val="Обычный3"/>
    <w:qFormat/>
    <w:uiPriority w:val="0"/>
    <w:pPr>
      <w:spacing w:after="160" w:line="259" w:lineRule="auto"/>
    </w:pPr>
    <w:rPr>
      <w:rFonts w:ascii="Times New Roman" w:hAnsi="Times New Roman" w:eastAsia="Times New Roman" w:cs="Times New Roman"/>
      <w:sz w:val="24"/>
      <w:lang w:val="ru-RU" w:eastAsia="ru-RU" w:bidi="ar-SA"/>
    </w:rPr>
  </w:style>
  <w:style w:type="paragraph" w:customStyle="1" w:styleId="344">
    <w:name w:val="Ii?iaeuiue"/>
    <w:qFormat/>
    <w:uiPriority w:val="0"/>
    <w:pPr>
      <w:spacing w:after="160" w:line="259" w:lineRule="auto"/>
    </w:pPr>
    <w:rPr>
      <w:rFonts w:ascii="Baltica" w:hAnsi="Baltica" w:eastAsia="Times New Roman" w:cs="Times New Roman"/>
      <w:sz w:val="24"/>
      <w:lang w:val="ru-RU" w:eastAsia="ru-RU" w:bidi="ar-SA"/>
    </w:rPr>
  </w:style>
  <w:style w:type="paragraph" w:customStyle="1" w:styleId="345">
    <w:name w:val="FR3"/>
    <w:qFormat/>
    <w:uiPriority w:val="0"/>
    <w:pPr>
      <w:widowControl w:val="0"/>
      <w:spacing w:before="420" w:after="160" w:line="340" w:lineRule="auto"/>
    </w:pPr>
    <w:rPr>
      <w:rFonts w:ascii="Arial" w:hAnsi="Arial" w:eastAsia="Times New Roman" w:cs="Times New Roman"/>
      <w:snapToGrid w:val="0"/>
      <w:sz w:val="22"/>
      <w:lang w:val="ru-RU" w:eastAsia="ru-RU" w:bidi="ar-SA"/>
    </w:rPr>
  </w:style>
  <w:style w:type="paragraph" w:customStyle="1" w:styleId="346">
    <w:name w:val="FR1"/>
    <w:qFormat/>
    <w:uiPriority w:val="0"/>
    <w:pPr>
      <w:widowControl w:val="0"/>
      <w:autoSpaceDE w:val="0"/>
      <w:autoSpaceDN w:val="0"/>
      <w:spacing w:before="20" w:after="160" w:line="259" w:lineRule="auto"/>
      <w:ind w:left="760"/>
    </w:pPr>
    <w:rPr>
      <w:rFonts w:ascii="Times New Roman" w:hAnsi="Times New Roman" w:eastAsia="Times New Roman" w:cs="Times New Roman"/>
      <w:sz w:val="32"/>
      <w:lang w:val="ru-RU" w:eastAsia="ru-RU" w:bidi="ar-SA"/>
    </w:rPr>
  </w:style>
  <w:style w:type="paragraph" w:customStyle="1" w:styleId="347">
    <w:name w:val="Знак Знак Знак Знак Знак1 Знак Знак Знак Знак2"/>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348">
    <w:name w:val="íàçâàíèå"/>
    <w:basedOn w:val="1"/>
    <w:qFormat/>
    <w:uiPriority w:val="0"/>
    <w:pPr>
      <w:widowControl w:val="0"/>
      <w:spacing w:after="0" w:line="240" w:lineRule="auto"/>
    </w:pPr>
    <w:rPr>
      <w:rFonts w:eastAsia="Times New Roman"/>
      <w:kern w:val="0"/>
      <w:szCs w:val="20"/>
      <w:lang w:eastAsia="ru-RU"/>
    </w:rPr>
  </w:style>
  <w:style w:type="paragraph" w:customStyle="1" w:styleId="349">
    <w:name w:val="Знак Знак Знак Знак Знак Знак Знак"/>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350">
    <w:name w:val="Содержимое таблицы"/>
    <w:basedOn w:val="1"/>
    <w:qFormat/>
    <w:uiPriority w:val="0"/>
    <w:pPr>
      <w:widowControl w:val="0"/>
      <w:suppressLineNumbers/>
      <w:suppressAutoHyphens/>
      <w:spacing w:after="0" w:line="240" w:lineRule="auto"/>
    </w:pPr>
    <w:rPr>
      <w:rFonts w:eastAsia="Lucida Sans Unicode"/>
      <w:lang w:eastAsia="ru-RU"/>
    </w:rPr>
  </w:style>
  <w:style w:type="character" w:customStyle="1" w:styleId="351">
    <w:name w:val="Heading 2 Char"/>
    <w:qFormat/>
    <w:locked/>
    <w:uiPriority w:val="0"/>
    <w:rPr>
      <w:rFonts w:ascii="Arial" w:hAnsi="Arial" w:cs="Arial"/>
      <w:b/>
      <w:bCs/>
      <w:i/>
      <w:iCs/>
      <w:sz w:val="28"/>
      <w:szCs w:val="28"/>
      <w:lang w:eastAsia="ru-RU"/>
    </w:rPr>
  </w:style>
  <w:style w:type="paragraph" w:customStyle="1" w:styleId="352">
    <w:name w:val="Основной текст 31"/>
    <w:basedOn w:val="1"/>
    <w:qFormat/>
    <w:uiPriority w:val="0"/>
    <w:pPr>
      <w:suppressAutoHyphens/>
      <w:spacing w:after="0" w:line="240" w:lineRule="auto"/>
    </w:pPr>
    <w:rPr>
      <w:rFonts w:eastAsia="Times New Roman"/>
      <w:b/>
      <w:bCs/>
      <w:kern w:val="0"/>
      <w:lang w:eastAsia="ar-SA"/>
    </w:rPr>
  </w:style>
  <w:style w:type="paragraph" w:customStyle="1" w:styleId="353">
    <w:name w:val="Обычный4"/>
    <w:qFormat/>
    <w:uiPriority w:val="0"/>
    <w:pPr>
      <w:spacing w:after="160" w:line="259" w:lineRule="auto"/>
    </w:pPr>
    <w:rPr>
      <w:rFonts w:ascii="Times New Roman" w:hAnsi="Times New Roman" w:eastAsia="Times New Roman" w:cs="Times New Roman"/>
      <w:sz w:val="24"/>
      <w:lang w:val="ru-RU" w:eastAsia="ru-RU" w:bidi="ar-SA"/>
    </w:rPr>
  </w:style>
  <w:style w:type="paragraph" w:customStyle="1" w:styleId="354">
    <w:name w:val="Знак Знак Знак Знак Знак1 Знак Знак Знак Знак1"/>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355">
    <w:name w:val="Знак1"/>
    <w:basedOn w:val="1"/>
    <w:qFormat/>
    <w:uiPriority w:val="0"/>
    <w:pPr>
      <w:widowControl w:val="0"/>
      <w:adjustRightInd w:val="0"/>
      <w:spacing w:after="160" w:line="240" w:lineRule="exact"/>
      <w:jc w:val="right"/>
    </w:pPr>
    <w:rPr>
      <w:kern w:val="0"/>
      <w:sz w:val="20"/>
      <w:szCs w:val="20"/>
      <w:lang w:val="en-GB"/>
    </w:rPr>
  </w:style>
  <w:style w:type="paragraph" w:customStyle="1" w:styleId="356">
    <w:name w:val="Абзац списка2"/>
    <w:basedOn w:val="1"/>
    <w:qFormat/>
    <w:uiPriority w:val="0"/>
    <w:pPr>
      <w:ind w:left="720"/>
    </w:pPr>
    <w:rPr>
      <w:rFonts w:eastAsia="Times New Roman"/>
    </w:rPr>
  </w:style>
  <w:style w:type="paragraph" w:customStyle="1" w:styleId="357">
    <w:name w:val="быстрообычный"/>
    <w:basedOn w:val="1"/>
    <w:qFormat/>
    <w:uiPriority w:val="0"/>
    <w:pPr>
      <w:keepLines/>
      <w:suppressAutoHyphens/>
      <w:spacing w:after="0" w:line="360" w:lineRule="auto"/>
      <w:ind w:firstLine="851"/>
      <w:jc w:val="both"/>
    </w:pPr>
    <w:rPr>
      <w:rFonts w:eastAsia="Times New Roman"/>
      <w:kern w:val="0"/>
      <w:szCs w:val="36"/>
      <w:lang w:eastAsia="ru-RU"/>
    </w:rPr>
  </w:style>
  <w:style w:type="paragraph" w:customStyle="1" w:styleId="358">
    <w:name w:val="Абзац списка3"/>
    <w:basedOn w:val="1"/>
    <w:qFormat/>
    <w:uiPriority w:val="0"/>
    <w:pPr>
      <w:spacing w:after="0" w:line="360" w:lineRule="auto"/>
      <w:ind w:left="720" w:firstLine="709"/>
      <w:jc w:val="both"/>
    </w:pPr>
    <w:rPr>
      <w:rFonts w:eastAsia="Times New Roman"/>
    </w:rPr>
  </w:style>
  <w:style w:type="paragraph" w:customStyle="1" w:styleId="359">
    <w:name w:val="Подпись к рисунку"/>
    <w:basedOn w:val="56"/>
    <w:qFormat/>
    <w:uiPriority w:val="0"/>
    <w:pPr>
      <w:widowControl/>
      <w:suppressAutoHyphens/>
    </w:pPr>
    <w:rPr>
      <w:b w:val="0"/>
      <w:snapToGrid/>
      <w:sz w:val="24"/>
    </w:rPr>
  </w:style>
  <w:style w:type="paragraph" w:customStyle="1" w:styleId="360">
    <w:name w:val="pboth"/>
    <w:basedOn w:val="1"/>
    <w:qFormat/>
    <w:uiPriority w:val="0"/>
    <w:pPr>
      <w:spacing w:before="100" w:beforeAutospacing="1" w:after="100" w:afterAutospacing="1" w:line="240" w:lineRule="auto"/>
    </w:pPr>
    <w:rPr>
      <w:rFonts w:eastAsia="Times New Roman"/>
      <w:kern w:val="0"/>
      <w:lang w:eastAsia="ru-RU"/>
    </w:rPr>
  </w:style>
  <w:style w:type="table" w:customStyle="1" w:styleId="361">
    <w:name w:val="Сетка таблицы13"/>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62">
    <w:name w:val="rtejustify"/>
    <w:basedOn w:val="1"/>
    <w:qFormat/>
    <w:uiPriority w:val="0"/>
    <w:pPr>
      <w:spacing w:before="100" w:beforeAutospacing="1" w:after="100" w:afterAutospacing="1" w:line="240" w:lineRule="auto"/>
    </w:pPr>
    <w:rPr>
      <w:rFonts w:eastAsia="Times New Roman"/>
      <w:kern w:val="0"/>
      <w:lang w:eastAsia="ru-RU"/>
    </w:rPr>
  </w:style>
  <w:style w:type="paragraph" w:customStyle="1" w:styleId="363">
    <w:name w:val="consnormal"/>
    <w:basedOn w:val="1"/>
    <w:qFormat/>
    <w:uiPriority w:val="0"/>
    <w:pPr>
      <w:spacing w:before="100" w:beforeAutospacing="1" w:after="100" w:afterAutospacing="1" w:line="240" w:lineRule="auto"/>
    </w:pPr>
    <w:rPr>
      <w:rFonts w:eastAsia="Times New Roman"/>
      <w:kern w:val="0"/>
      <w:lang w:eastAsia="ru-RU"/>
    </w:rPr>
  </w:style>
  <w:style w:type="character" w:customStyle="1" w:styleId="364">
    <w:name w:val="Символ сноски"/>
    <w:basedOn w:val="11"/>
    <w:qFormat/>
    <w:uiPriority w:val="0"/>
    <w:rPr>
      <w:vertAlign w:val="superscript"/>
    </w:rPr>
  </w:style>
  <w:style w:type="paragraph" w:customStyle="1" w:styleId="365">
    <w:name w:val="Основной стиль записки"/>
    <w:basedOn w:val="1"/>
    <w:qFormat/>
    <w:uiPriority w:val="0"/>
    <w:pPr>
      <w:spacing w:after="0" w:line="240" w:lineRule="auto"/>
      <w:ind w:firstLine="709"/>
      <w:jc w:val="both"/>
    </w:pPr>
    <w:rPr>
      <w:rFonts w:eastAsia="Times New Roman"/>
      <w:kern w:val="0"/>
      <w:lang w:eastAsia="ru-RU"/>
    </w:rPr>
  </w:style>
  <w:style w:type="paragraph" w:customStyle="1" w:styleId="366">
    <w:name w:val="Table Contents"/>
    <w:basedOn w:val="1"/>
    <w:qFormat/>
    <w:uiPriority w:val="0"/>
    <w:pPr>
      <w:widowControl w:val="0"/>
      <w:suppressLineNumbers/>
      <w:suppressAutoHyphens/>
      <w:autoSpaceDN w:val="0"/>
      <w:spacing w:after="0" w:line="240" w:lineRule="auto"/>
    </w:pPr>
    <w:rPr>
      <w:rFonts w:eastAsia="Lucida Sans Unicode" w:cs="Tahoma"/>
      <w:kern w:val="3"/>
      <w:lang w:eastAsia="ru-RU"/>
    </w:rPr>
  </w:style>
  <w:style w:type="character" w:customStyle="1" w:styleId="367">
    <w:name w:val="Основной текст с отступом 2 Знак1"/>
    <w:basedOn w:val="11"/>
    <w:semiHidden/>
    <w:qFormat/>
    <w:uiPriority w:val="99"/>
    <w:rPr>
      <w:rFonts w:ascii="Times New Roman" w:hAnsi="Times New Roman" w:eastAsia="Calibri" w:cs="Times New Roman"/>
      <w:kern w:val="2"/>
      <w:sz w:val="24"/>
      <w:szCs w:val="24"/>
    </w:rPr>
  </w:style>
  <w:style w:type="paragraph" w:customStyle="1" w:styleId="368">
    <w:name w:val="Знак Знак Знак Знак Знак Знак Знак Знак Знак Знак Знак Знак Знак"/>
    <w:basedOn w:val="1"/>
    <w:qFormat/>
    <w:uiPriority w:val="0"/>
    <w:pPr>
      <w:spacing w:before="100" w:beforeAutospacing="1" w:after="100" w:afterAutospacing="1" w:line="240" w:lineRule="auto"/>
      <w:jc w:val="center"/>
    </w:pPr>
    <w:rPr>
      <w:rFonts w:ascii="Tahoma" w:hAnsi="Tahoma" w:eastAsia="Times New Roman"/>
      <w:kern w:val="0"/>
      <w:sz w:val="20"/>
      <w:szCs w:val="20"/>
      <w:lang w:val="en-US"/>
    </w:rPr>
  </w:style>
  <w:style w:type="paragraph" w:customStyle="1" w:styleId="369">
    <w:name w:val="Основное"/>
    <w:link w:val="370"/>
    <w:qFormat/>
    <w:uiPriority w:val="0"/>
    <w:pPr>
      <w:spacing w:after="160" w:line="360" w:lineRule="auto"/>
      <w:ind w:firstLine="851"/>
      <w:jc w:val="both"/>
    </w:pPr>
    <w:rPr>
      <w:rFonts w:ascii="Times New Roman" w:hAnsi="Times New Roman" w:eastAsia="Times New Roman" w:cs="Times New Roman"/>
      <w:sz w:val="24"/>
      <w:szCs w:val="28"/>
      <w:lang w:val="ru-RU" w:eastAsia="ru-RU" w:bidi="ar-SA"/>
    </w:rPr>
  </w:style>
  <w:style w:type="character" w:customStyle="1" w:styleId="370">
    <w:name w:val="Основное Знак"/>
    <w:basedOn w:val="11"/>
    <w:link w:val="369"/>
    <w:qFormat/>
    <w:uiPriority w:val="0"/>
    <w:rPr>
      <w:rFonts w:eastAsia="Times New Roman"/>
      <w:sz w:val="24"/>
      <w:szCs w:val="28"/>
    </w:rPr>
  </w:style>
  <w:style w:type="paragraph" w:customStyle="1" w:styleId="371">
    <w:name w:val="Standard"/>
    <w:qFormat/>
    <w:uiPriority w:val="0"/>
    <w:pPr>
      <w:suppressAutoHyphens/>
      <w:autoSpaceDN w:val="0"/>
      <w:spacing w:after="160" w:line="259" w:lineRule="auto"/>
      <w:textAlignment w:val="baseline"/>
    </w:pPr>
    <w:rPr>
      <w:rFonts w:ascii="Times New Roman" w:hAnsi="Times New Roman" w:eastAsia="Times New Roman" w:cs="Times New Roman"/>
      <w:kern w:val="3"/>
      <w:lang w:val="ru-RU" w:eastAsia="zh-CN" w:bidi="ar-SA"/>
    </w:rPr>
  </w:style>
  <w:style w:type="paragraph" w:customStyle="1" w:styleId="372">
    <w:name w:val="Основной текст (2)"/>
    <w:basedOn w:val="371"/>
    <w:link w:val="800"/>
    <w:qFormat/>
    <w:uiPriority w:val="0"/>
    <w:pPr>
      <w:widowControl w:val="0"/>
      <w:spacing w:after="420" w:line="0" w:lineRule="atLeast"/>
    </w:pPr>
    <w:rPr>
      <w:sz w:val="28"/>
      <w:szCs w:val="28"/>
    </w:rPr>
  </w:style>
  <w:style w:type="paragraph" w:customStyle="1" w:styleId="373">
    <w:name w:val="ЗАГОЛОВОК3"/>
    <w:basedOn w:val="1"/>
    <w:next w:val="1"/>
    <w:qFormat/>
    <w:uiPriority w:val="0"/>
    <w:pPr>
      <w:keepNext/>
      <w:spacing w:before="120" w:after="0" w:line="240" w:lineRule="auto"/>
      <w:ind w:left="720" w:hanging="11"/>
      <w:jc w:val="center"/>
      <w:outlineLvl w:val="0"/>
    </w:pPr>
    <w:rPr>
      <w:rFonts w:eastAsia="Times New Roman"/>
      <w:b/>
      <w:bCs/>
      <w:i/>
      <w:kern w:val="0"/>
      <w:sz w:val="28"/>
      <w:szCs w:val="28"/>
      <w:lang w:eastAsia="ru-RU"/>
    </w:rPr>
  </w:style>
  <w:style w:type="character" w:customStyle="1" w:styleId="374">
    <w:name w:val="Основной текст Знак1"/>
    <w:basedOn w:val="11"/>
    <w:qFormat/>
    <w:uiPriority w:val="0"/>
    <w:rPr>
      <w:rFonts w:ascii="Times New Roman" w:hAnsi="Times New Roman" w:cs="Times New Roman"/>
      <w:sz w:val="25"/>
      <w:szCs w:val="25"/>
      <w:shd w:val="clear" w:color="auto" w:fill="FFFFFF"/>
    </w:rPr>
  </w:style>
  <w:style w:type="paragraph" w:customStyle="1" w:styleId="375">
    <w:name w:val="Основа"/>
    <w:basedOn w:val="1"/>
    <w:qFormat/>
    <w:uiPriority w:val="0"/>
    <w:pPr>
      <w:spacing w:before="120" w:after="0" w:line="240" w:lineRule="auto"/>
      <w:ind w:firstLine="720"/>
      <w:jc w:val="both"/>
    </w:pPr>
    <w:rPr>
      <w:rFonts w:eastAsia="Times New Roman"/>
      <w:kern w:val="0"/>
      <w:szCs w:val="20"/>
      <w:lang w:eastAsia="ru-RU"/>
    </w:rPr>
  </w:style>
  <w:style w:type="paragraph" w:customStyle="1" w:styleId="376">
    <w:name w:val="contentheader2cols"/>
    <w:basedOn w:val="1"/>
    <w:qFormat/>
    <w:uiPriority w:val="0"/>
    <w:pPr>
      <w:spacing w:before="100" w:beforeAutospacing="1" w:after="100" w:afterAutospacing="1" w:line="240" w:lineRule="auto"/>
    </w:pPr>
    <w:rPr>
      <w:rFonts w:eastAsia="Times New Roman"/>
      <w:kern w:val="0"/>
      <w:lang w:eastAsia="ru-RU"/>
    </w:rPr>
  </w:style>
  <w:style w:type="character" w:customStyle="1" w:styleId="377">
    <w:name w:val="Абзац Знак"/>
    <w:link w:val="282"/>
    <w:qFormat/>
    <w:uiPriority w:val="0"/>
    <w:rPr>
      <w:rFonts w:eastAsia="Times New Roman"/>
      <w:sz w:val="26"/>
      <w:lang w:eastAsia="ar-SA"/>
    </w:rPr>
  </w:style>
  <w:style w:type="paragraph" w:customStyle="1" w:styleId="378">
    <w:name w:val="Название таблицы"/>
    <w:basedOn w:val="43"/>
    <w:qFormat/>
    <w:uiPriority w:val="0"/>
    <w:pPr>
      <w:keepNext/>
      <w:spacing w:before="120" w:after="0"/>
    </w:pPr>
    <w:rPr>
      <w:rFonts w:eastAsia="Times New Roman"/>
      <w:color w:val="auto"/>
      <w:kern w:val="0"/>
      <w:sz w:val="22"/>
      <w:szCs w:val="22"/>
      <w:lang w:eastAsia="ru-RU"/>
    </w:rPr>
  </w:style>
  <w:style w:type="paragraph" w:customStyle="1" w:styleId="379">
    <w:name w:val="Табличный_заголовки"/>
    <w:basedOn w:val="1"/>
    <w:qFormat/>
    <w:uiPriority w:val="0"/>
    <w:pPr>
      <w:keepNext/>
      <w:keepLines/>
      <w:spacing w:after="0" w:line="240" w:lineRule="auto"/>
      <w:jc w:val="center"/>
    </w:pPr>
    <w:rPr>
      <w:rFonts w:eastAsia="Times New Roman"/>
      <w:b/>
      <w:kern w:val="0"/>
      <w:sz w:val="22"/>
      <w:szCs w:val="22"/>
      <w:lang w:eastAsia="ru-RU"/>
    </w:rPr>
  </w:style>
  <w:style w:type="paragraph" w:customStyle="1" w:styleId="380">
    <w:name w:val="Табличный_центр"/>
    <w:basedOn w:val="1"/>
    <w:qFormat/>
    <w:uiPriority w:val="0"/>
    <w:pPr>
      <w:spacing w:after="0" w:line="240" w:lineRule="auto"/>
      <w:jc w:val="center"/>
    </w:pPr>
    <w:rPr>
      <w:rFonts w:eastAsia="Times New Roman"/>
      <w:kern w:val="0"/>
      <w:sz w:val="22"/>
      <w:szCs w:val="22"/>
      <w:lang w:eastAsia="ru-RU"/>
    </w:rPr>
  </w:style>
  <w:style w:type="character" w:customStyle="1" w:styleId="381">
    <w:name w:val="Заголовок 6 Знак"/>
    <w:basedOn w:val="11"/>
    <w:link w:val="7"/>
    <w:qFormat/>
    <w:uiPriority w:val="0"/>
    <w:rPr>
      <w:rFonts w:eastAsia="Times New Roman"/>
      <w:b/>
      <w:bCs/>
      <w:sz w:val="22"/>
      <w:szCs w:val="22"/>
    </w:rPr>
  </w:style>
  <w:style w:type="character" w:customStyle="1" w:styleId="382">
    <w:name w:val="Заголовок 9 Знак"/>
    <w:basedOn w:val="11"/>
    <w:link w:val="10"/>
    <w:qFormat/>
    <w:uiPriority w:val="0"/>
    <w:rPr>
      <w:rFonts w:ascii="Arial" w:hAnsi="Arial" w:eastAsia="Times New Roman" w:cs="Arial"/>
      <w:sz w:val="22"/>
      <w:szCs w:val="22"/>
    </w:rPr>
  </w:style>
  <w:style w:type="character" w:customStyle="1" w:styleId="383">
    <w:name w:val="Список Знак"/>
    <w:link w:val="32"/>
    <w:qFormat/>
    <w:uiPriority w:val="0"/>
    <w:rPr>
      <w:rFonts w:eastAsia="Times New Roman"/>
      <w:sz w:val="24"/>
      <w:szCs w:val="24"/>
    </w:rPr>
  </w:style>
  <w:style w:type="paragraph" w:customStyle="1" w:styleId="384">
    <w:name w:val="Список нумерованный"/>
    <w:basedOn w:val="1"/>
    <w:qFormat/>
    <w:uiPriority w:val="0"/>
    <w:pPr>
      <w:numPr>
        <w:ilvl w:val="0"/>
        <w:numId w:val="2"/>
      </w:numPr>
      <w:spacing w:before="120" w:after="0" w:line="240" w:lineRule="auto"/>
      <w:jc w:val="both"/>
    </w:pPr>
    <w:rPr>
      <w:rFonts w:eastAsia="Times New Roman"/>
      <w:kern w:val="0"/>
      <w:lang w:eastAsia="ru-RU"/>
    </w:rPr>
  </w:style>
  <w:style w:type="paragraph" w:customStyle="1" w:styleId="385">
    <w:name w:val="Табличный"/>
    <w:basedOn w:val="1"/>
    <w:qFormat/>
    <w:uiPriority w:val="0"/>
    <w:pPr>
      <w:keepNext/>
      <w:widowControl w:val="0"/>
      <w:spacing w:before="60" w:after="60" w:line="240" w:lineRule="auto"/>
      <w:jc w:val="center"/>
    </w:pPr>
    <w:rPr>
      <w:rFonts w:eastAsia="Times New Roman"/>
      <w:b/>
      <w:kern w:val="0"/>
      <w:sz w:val="22"/>
      <w:szCs w:val="20"/>
      <w:lang w:eastAsia="ru-RU"/>
    </w:rPr>
  </w:style>
  <w:style w:type="paragraph" w:customStyle="1" w:styleId="386">
    <w:name w:val="Содержание"/>
    <w:basedOn w:val="1"/>
    <w:qFormat/>
    <w:uiPriority w:val="0"/>
    <w:pPr>
      <w:widowControl w:val="0"/>
      <w:spacing w:before="240" w:after="240" w:line="240" w:lineRule="auto"/>
      <w:jc w:val="center"/>
    </w:pPr>
    <w:rPr>
      <w:rFonts w:eastAsia="Times New Roman"/>
      <w:b/>
      <w:caps/>
      <w:kern w:val="0"/>
      <w:szCs w:val="20"/>
      <w:lang w:eastAsia="ru-RU"/>
    </w:rPr>
  </w:style>
  <w:style w:type="paragraph" w:customStyle="1" w:styleId="387">
    <w:name w:val="Список 1)"/>
    <w:basedOn w:val="1"/>
    <w:qFormat/>
    <w:uiPriority w:val="0"/>
    <w:pPr>
      <w:numPr>
        <w:ilvl w:val="0"/>
        <w:numId w:val="3"/>
      </w:numPr>
      <w:spacing w:after="60" w:line="240" w:lineRule="auto"/>
      <w:jc w:val="both"/>
    </w:pPr>
    <w:rPr>
      <w:rFonts w:eastAsia="Times New Roman"/>
      <w:kern w:val="0"/>
      <w:lang w:eastAsia="ru-RU"/>
    </w:rPr>
  </w:style>
  <w:style w:type="paragraph" w:customStyle="1" w:styleId="388">
    <w:name w:val="Табличный_нумерованный"/>
    <w:basedOn w:val="1"/>
    <w:link w:val="389"/>
    <w:qFormat/>
    <w:uiPriority w:val="0"/>
    <w:pPr>
      <w:numPr>
        <w:ilvl w:val="0"/>
        <w:numId w:val="4"/>
      </w:numPr>
      <w:spacing w:after="0" w:line="240" w:lineRule="auto"/>
    </w:pPr>
    <w:rPr>
      <w:rFonts w:eastAsia="Times New Roman"/>
      <w:kern w:val="0"/>
      <w:sz w:val="22"/>
      <w:szCs w:val="22"/>
    </w:rPr>
  </w:style>
  <w:style w:type="character" w:customStyle="1" w:styleId="389">
    <w:name w:val="Табличный_нумерованный Знак"/>
    <w:link w:val="388"/>
    <w:qFormat/>
    <w:uiPriority w:val="0"/>
    <w:rPr>
      <w:rFonts w:ascii="Times New Roman" w:hAnsi="Times New Roman" w:eastAsia="Times New Roman" w:cs="Times New Roman"/>
      <w:sz w:val="22"/>
      <w:szCs w:val="22"/>
      <w:lang w:eastAsia="en-US"/>
    </w:rPr>
  </w:style>
  <w:style w:type="paragraph" w:customStyle="1" w:styleId="390">
    <w:name w:val="Требования"/>
    <w:basedOn w:val="1"/>
    <w:qFormat/>
    <w:uiPriority w:val="0"/>
    <w:pPr>
      <w:numPr>
        <w:ilvl w:val="1"/>
        <w:numId w:val="5"/>
      </w:numPr>
      <w:spacing w:before="120" w:after="60" w:line="240" w:lineRule="auto"/>
      <w:ind w:left="0" w:firstLine="567"/>
      <w:jc w:val="both"/>
      <w:outlineLvl w:val="1"/>
    </w:pPr>
    <w:rPr>
      <w:rFonts w:eastAsia="Times New Roman"/>
      <w:bCs/>
      <w:i/>
      <w:iCs/>
      <w:kern w:val="0"/>
      <w:lang w:eastAsia="ru-RU"/>
    </w:rPr>
  </w:style>
  <w:style w:type="paragraph" w:customStyle="1" w:styleId="391">
    <w:name w:val="Список а)"/>
    <w:basedOn w:val="32"/>
    <w:qFormat/>
    <w:uiPriority w:val="0"/>
    <w:pPr>
      <w:numPr>
        <w:ilvl w:val="0"/>
        <w:numId w:val="6"/>
      </w:numPr>
      <w:spacing w:before="0" w:beforeAutospacing="0" w:after="60" w:afterAutospacing="0"/>
      <w:jc w:val="both"/>
    </w:pPr>
    <w:rPr>
      <w:snapToGrid w:val="0"/>
    </w:rPr>
  </w:style>
  <w:style w:type="paragraph" w:customStyle="1" w:styleId="392">
    <w:name w:val="Табличный_слева"/>
    <w:basedOn w:val="1"/>
    <w:qFormat/>
    <w:uiPriority w:val="0"/>
    <w:pPr>
      <w:spacing w:after="0" w:line="240" w:lineRule="auto"/>
    </w:pPr>
    <w:rPr>
      <w:rFonts w:eastAsia="Times New Roman"/>
      <w:kern w:val="0"/>
      <w:sz w:val="22"/>
      <w:szCs w:val="22"/>
      <w:lang w:eastAsia="ru-RU"/>
    </w:rPr>
  </w:style>
  <w:style w:type="paragraph" w:customStyle="1" w:styleId="393">
    <w:name w:val="Обычный 1"/>
    <w:basedOn w:val="1"/>
    <w:next w:val="1"/>
    <w:semiHidden/>
    <w:qFormat/>
    <w:uiPriority w:val="0"/>
    <w:pPr>
      <w:tabs>
        <w:tab w:val="left" w:pos="360"/>
      </w:tabs>
      <w:spacing w:before="120" w:after="0" w:line="240" w:lineRule="auto"/>
      <w:ind w:left="360" w:hanging="360"/>
      <w:jc w:val="both"/>
    </w:pPr>
    <w:rPr>
      <w:rFonts w:eastAsia="Times New Roman"/>
      <w:kern w:val="0"/>
      <w:szCs w:val="20"/>
      <w:lang w:eastAsia="ru-RU"/>
    </w:rPr>
  </w:style>
  <w:style w:type="paragraph" w:customStyle="1" w:styleId="394">
    <w:name w:val="Обычный влево"/>
    <w:basedOn w:val="393"/>
    <w:qFormat/>
    <w:uiPriority w:val="0"/>
    <w:pPr>
      <w:tabs>
        <w:tab w:val="clear" w:pos="360"/>
      </w:tabs>
      <w:spacing w:before="0"/>
      <w:ind w:left="0" w:firstLine="0"/>
      <w:jc w:val="left"/>
    </w:pPr>
  </w:style>
  <w:style w:type="paragraph" w:customStyle="1" w:styleId="395">
    <w:name w:val="Табличный_по ширине"/>
    <w:basedOn w:val="392"/>
    <w:qFormat/>
    <w:uiPriority w:val="0"/>
    <w:pPr>
      <w:jc w:val="both"/>
    </w:pPr>
  </w:style>
  <w:style w:type="character" w:customStyle="1" w:styleId="396">
    <w:name w:val="Слабое выделение1"/>
    <w:qFormat/>
    <w:uiPriority w:val="19"/>
    <w:rPr>
      <w:i/>
      <w:iCs/>
      <w:color w:val="5A5A5A"/>
    </w:rPr>
  </w:style>
  <w:style w:type="character" w:customStyle="1" w:styleId="397">
    <w:name w:val="Сильное выделение1"/>
    <w:qFormat/>
    <w:uiPriority w:val="21"/>
    <w:rPr>
      <w:b/>
      <w:bCs/>
      <w:i/>
      <w:iCs/>
      <w:color w:val="4F81BD"/>
      <w:sz w:val="22"/>
      <w:szCs w:val="22"/>
    </w:rPr>
  </w:style>
  <w:style w:type="character" w:customStyle="1" w:styleId="398">
    <w:name w:val="Слабая ссылка1"/>
    <w:qFormat/>
    <w:uiPriority w:val="31"/>
    <w:rPr>
      <w:color w:val="auto"/>
      <w:u w:val="single"/>
    </w:rPr>
  </w:style>
  <w:style w:type="character" w:customStyle="1" w:styleId="399">
    <w:name w:val="Сильная ссылка1"/>
    <w:qFormat/>
    <w:uiPriority w:val="32"/>
    <w:rPr>
      <w:b/>
      <w:bCs/>
      <w:color w:val="76923C"/>
      <w:u w:val="single"/>
    </w:rPr>
  </w:style>
  <w:style w:type="character" w:customStyle="1" w:styleId="400">
    <w:name w:val="Название книги1"/>
    <w:qFormat/>
    <w:uiPriority w:val="33"/>
    <w:rPr>
      <w:rFonts w:ascii="Cambria" w:hAnsi="Cambria" w:eastAsia="Times New Roman" w:cs="Times New Roman"/>
      <w:b/>
      <w:bCs/>
      <w:i/>
      <w:iCs/>
      <w:color w:val="auto"/>
    </w:rPr>
  </w:style>
  <w:style w:type="paragraph" w:styleId="401">
    <w:name w:val="Quote"/>
    <w:basedOn w:val="1"/>
    <w:next w:val="1"/>
    <w:link w:val="402"/>
    <w:qFormat/>
    <w:uiPriority w:val="29"/>
    <w:pPr>
      <w:suppressAutoHyphens/>
      <w:spacing w:after="0" w:line="240" w:lineRule="auto"/>
      <w:jc w:val="both"/>
    </w:pPr>
    <w:rPr>
      <w:rFonts w:ascii="Cambria" w:hAnsi="Cambria" w:eastAsia="Times New Roman" w:cs="Calibri"/>
      <w:i/>
      <w:iCs/>
      <w:color w:val="5A5A5A"/>
      <w:w w:val="109"/>
      <w:kern w:val="0"/>
      <w:lang w:val="en-US" w:bidi="en-US"/>
    </w:rPr>
  </w:style>
  <w:style w:type="character" w:customStyle="1" w:styleId="402">
    <w:name w:val="Цитата 2 Знак"/>
    <w:basedOn w:val="11"/>
    <w:link w:val="401"/>
    <w:qFormat/>
    <w:uiPriority w:val="29"/>
    <w:rPr>
      <w:rFonts w:ascii="Cambria" w:hAnsi="Cambria" w:eastAsia="Times New Roman" w:cs="Calibri"/>
      <w:i/>
      <w:iCs/>
      <w:color w:val="5A5A5A"/>
      <w:w w:val="109"/>
      <w:sz w:val="24"/>
      <w:szCs w:val="24"/>
      <w:lang w:val="en-US" w:eastAsia="en-US" w:bidi="en-US"/>
    </w:rPr>
  </w:style>
  <w:style w:type="paragraph" w:styleId="403">
    <w:name w:val="Intense Quote"/>
    <w:basedOn w:val="1"/>
    <w:next w:val="1"/>
    <w:link w:val="404"/>
    <w:qFormat/>
    <w:uiPriority w:val="30"/>
    <w:pPr>
      <w:pBdr>
        <w:top w:val="single" w:color="C0C0C0" w:sz="8" w:space="10"/>
        <w:left w:val="single" w:color="808080" w:sz="32" w:space="4"/>
        <w:bottom w:val="single" w:color="FFFF00" w:sz="20" w:space="10"/>
        <w:right w:val="single" w:color="808080" w:sz="32" w:space="4"/>
      </w:pBdr>
      <w:shd w:val="clear" w:color="auto" w:fill="4F81BD"/>
      <w:suppressAutoHyphens/>
      <w:spacing w:before="320" w:after="320" w:line="300" w:lineRule="auto"/>
      <w:ind w:left="1440" w:right="1440"/>
      <w:jc w:val="both"/>
    </w:pPr>
    <w:rPr>
      <w:rFonts w:ascii="Cambria" w:hAnsi="Cambria" w:eastAsia="Times New Roman" w:cs="Calibri"/>
      <w:i/>
      <w:iCs/>
      <w:color w:val="FFFFFF"/>
      <w:w w:val="109"/>
      <w:kern w:val="0"/>
      <w:lang w:val="en-US" w:bidi="en-US"/>
    </w:rPr>
  </w:style>
  <w:style w:type="character" w:customStyle="1" w:styleId="404">
    <w:name w:val="Выделенная цитата Знак"/>
    <w:basedOn w:val="11"/>
    <w:link w:val="403"/>
    <w:qFormat/>
    <w:uiPriority w:val="30"/>
    <w:rPr>
      <w:rFonts w:ascii="Cambria" w:hAnsi="Cambria" w:eastAsia="Times New Roman" w:cs="Calibri"/>
      <w:i/>
      <w:iCs/>
      <w:color w:val="FFFFFF"/>
      <w:w w:val="109"/>
      <w:sz w:val="24"/>
      <w:szCs w:val="24"/>
      <w:shd w:val="clear" w:color="auto" w:fill="4F81BD"/>
      <w:lang w:val="en-US" w:eastAsia="en-US" w:bidi="en-US"/>
    </w:rPr>
  </w:style>
  <w:style w:type="paragraph" w:customStyle="1" w:styleId="405">
    <w:name w:val="Заголовок оглавления1"/>
    <w:basedOn w:val="2"/>
    <w:next w:val="1"/>
    <w:qFormat/>
    <w:uiPriority w:val="39"/>
    <w:pPr>
      <w:keepNext w:val="0"/>
      <w:pBdr>
        <w:bottom w:val="single" w:color="808080" w:sz="8" w:space="1"/>
      </w:pBdr>
      <w:suppressAutoHyphens/>
      <w:spacing w:before="600" w:after="80"/>
      <w:jc w:val="both"/>
      <w:outlineLvl w:val="9"/>
    </w:pPr>
    <w:rPr>
      <w:rFonts w:ascii="Cambria" w:hAnsi="Cambria"/>
      <w:color w:val="365F91"/>
      <w:w w:val="109"/>
      <w:kern w:val="1"/>
      <w:sz w:val="24"/>
      <w:szCs w:val="24"/>
      <w:lang w:val="en-US" w:eastAsia="en-US" w:bidi="en-US"/>
    </w:rPr>
  </w:style>
  <w:style w:type="paragraph" w:customStyle="1" w:styleId="406">
    <w:name w:val="Табличный_справа"/>
    <w:basedOn w:val="1"/>
    <w:qFormat/>
    <w:uiPriority w:val="0"/>
    <w:pPr>
      <w:spacing w:after="0" w:line="240" w:lineRule="auto"/>
      <w:jc w:val="right"/>
    </w:pPr>
    <w:rPr>
      <w:rFonts w:eastAsia="Times New Roman"/>
      <w:kern w:val="0"/>
      <w:sz w:val="22"/>
      <w:szCs w:val="22"/>
      <w:lang w:eastAsia="ru-RU"/>
    </w:rPr>
  </w:style>
  <w:style w:type="paragraph" w:customStyle="1" w:styleId="407">
    <w:name w:val="Header Odd"/>
    <w:basedOn w:val="251"/>
    <w:qFormat/>
    <w:uiPriority w:val="0"/>
    <w:pPr>
      <w:pBdr>
        <w:bottom w:val="single" w:color="4F81BD" w:sz="4" w:space="1"/>
      </w:pBdr>
      <w:jc w:val="right"/>
    </w:pPr>
    <w:rPr>
      <w:b/>
      <w:bCs/>
      <w:color w:val="1F497D"/>
      <w:sz w:val="20"/>
      <w:szCs w:val="23"/>
      <w:lang w:eastAsia="ja-JP"/>
    </w:rPr>
  </w:style>
  <w:style w:type="paragraph" w:customStyle="1" w:styleId="408">
    <w:name w:val="Footer Odd"/>
    <w:basedOn w:val="1"/>
    <w:qFormat/>
    <w:uiPriority w:val="0"/>
    <w:pPr>
      <w:pBdr>
        <w:top w:val="single" w:color="4F81BD" w:sz="4" w:space="1"/>
      </w:pBdr>
      <w:spacing w:after="180" w:line="264" w:lineRule="auto"/>
      <w:jc w:val="right"/>
    </w:pPr>
    <w:rPr>
      <w:rFonts w:ascii="Calibri" w:hAnsi="Calibri" w:eastAsia="Times New Roman"/>
      <w:color w:val="1F497D"/>
      <w:kern w:val="0"/>
      <w:sz w:val="20"/>
      <w:szCs w:val="23"/>
      <w:lang w:eastAsia="ja-JP"/>
    </w:rPr>
  </w:style>
  <w:style w:type="paragraph" w:customStyle="1" w:styleId="409">
    <w:name w:val="таблица"/>
    <w:basedOn w:val="56"/>
    <w:qFormat/>
    <w:uiPriority w:val="0"/>
    <w:pPr>
      <w:widowControl/>
      <w:spacing w:after="120"/>
      <w:jc w:val="left"/>
    </w:pPr>
    <w:rPr>
      <w:b w:val="0"/>
      <w:snapToGrid/>
      <w:sz w:val="24"/>
      <w:szCs w:val="24"/>
    </w:rPr>
  </w:style>
  <w:style w:type="paragraph" w:customStyle="1" w:styleId="410">
    <w:name w:val="Без интервала1"/>
    <w:qFormat/>
    <w:uiPriority w:val="0"/>
    <w:pPr>
      <w:widowControl w:val="0"/>
      <w:autoSpaceDE w:val="0"/>
      <w:autoSpaceDN w:val="0"/>
      <w:adjustRightInd w:val="0"/>
      <w:spacing w:after="160" w:line="259" w:lineRule="auto"/>
    </w:pPr>
    <w:rPr>
      <w:rFonts w:ascii="Times New Roman" w:hAnsi="Times New Roman" w:eastAsia="Calibri" w:cs="Times New Roman"/>
      <w:lang w:val="ru-RU" w:eastAsia="ru-RU" w:bidi="ar-SA"/>
    </w:rPr>
  </w:style>
  <w:style w:type="paragraph" w:customStyle="1" w:styleId="411">
    <w:name w:val="c12 c10"/>
    <w:basedOn w:val="1"/>
    <w:qFormat/>
    <w:uiPriority w:val="0"/>
    <w:pPr>
      <w:spacing w:before="90" w:after="90" w:line="240" w:lineRule="auto"/>
    </w:pPr>
    <w:rPr>
      <w:rFonts w:eastAsia="Times New Roman"/>
      <w:kern w:val="0"/>
      <w:lang w:eastAsia="ru-RU"/>
    </w:rPr>
  </w:style>
  <w:style w:type="character" w:customStyle="1" w:styleId="412">
    <w:name w:val="c0"/>
    <w:basedOn w:val="11"/>
    <w:qFormat/>
    <w:uiPriority w:val="0"/>
  </w:style>
  <w:style w:type="character" w:customStyle="1" w:styleId="413">
    <w:name w:val="c0 c8"/>
    <w:basedOn w:val="11"/>
    <w:qFormat/>
    <w:uiPriority w:val="0"/>
  </w:style>
  <w:style w:type="character" w:customStyle="1" w:styleId="414">
    <w:name w:val="Текст концевой сноски Знак"/>
    <w:basedOn w:val="11"/>
    <w:link w:val="42"/>
    <w:qFormat/>
    <w:uiPriority w:val="0"/>
    <w:rPr>
      <w:kern w:val="2"/>
      <w:lang w:eastAsia="en-US"/>
    </w:rPr>
  </w:style>
  <w:style w:type="character" w:customStyle="1" w:styleId="415">
    <w:name w:val="hl"/>
    <w:basedOn w:val="11"/>
    <w:qFormat/>
    <w:uiPriority w:val="0"/>
  </w:style>
  <w:style w:type="character" w:customStyle="1" w:styleId="416">
    <w:name w:val="Заголовок 1 чистый Знак Знак"/>
    <w:link w:val="417"/>
    <w:qFormat/>
    <w:locked/>
    <w:uiPriority w:val="0"/>
    <w:rPr>
      <w:rFonts w:ascii="Times New Roman CYR" w:hAnsi="Times New Roman CYR" w:eastAsia="PMingLiU" w:cs="Times New Roman CYR"/>
      <w:sz w:val="32"/>
      <w:szCs w:val="32"/>
    </w:rPr>
  </w:style>
  <w:style w:type="paragraph" w:customStyle="1" w:styleId="417">
    <w:name w:val="Заголовок 1 чистый"/>
    <w:basedOn w:val="1"/>
    <w:next w:val="1"/>
    <w:link w:val="416"/>
    <w:qFormat/>
    <w:uiPriority w:val="0"/>
    <w:pPr>
      <w:spacing w:before="480" w:after="480" w:line="360" w:lineRule="atLeast"/>
      <w:jc w:val="both"/>
    </w:pPr>
    <w:rPr>
      <w:rFonts w:ascii="Times New Roman CYR" w:hAnsi="Times New Roman CYR" w:eastAsia="PMingLiU" w:cs="Times New Roman CYR"/>
      <w:kern w:val="0"/>
      <w:sz w:val="32"/>
      <w:szCs w:val="32"/>
      <w:lang w:eastAsia="ru-RU"/>
    </w:rPr>
  </w:style>
  <w:style w:type="character" w:customStyle="1" w:styleId="418">
    <w:name w:val="Маркированный список - 2 Знак"/>
    <w:link w:val="419"/>
    <w:qFormat/>
    <w:locked/>
    <w:uiPriority w:val="0"/>
    <w:rPr>
      <w:rFonts w:ascii="Tahoma" w:hAnsi="Tahoma" w:eastAsia="PMingLiU" w:cs="Tahoma"/>
    </w:rPr>
  </w:style>
  <w:style w:type="paragraph" w:customStyle="1" w:styleId="419">
    <w:name w:val="Маркированный список - 2"/>
    <w:basedOn w:val="1"/>
    <w:link w:val="418"/>
    <w:qFormat/>
    <w:uiPriority w:val="0"/>
    <w:pPr>
      <w:tabs>
        <w:tab w:val="left" w:pos="530"/>
        <w:tab w:val="left" w:pos="737"/>
      </w:tabs>
      <w:spacing w:after="0" w:line="360" w:lineRule="atLeast"/>
      <w:ind w:left="754" w:hanging="357"/>
      <w:jc w:val="both"/>
    </w:pPr>
    <w:rPr>
      <w:rFonts w:ascii="Tahoma" w:hAnsi="Tahoma" w:eastAsia="PMingLiU" w:cs="Tahoma"/>
      <w:kern w:val="0"/>
      <w:sz w:val="20"/>
      <w:szCs w:val="20"/>
      <w:lang w:eastAsia="ru-RU"/>
    </w:rPr>
  </w:style>
  <w:style w:type="character" w:customStyle="1" w:styleId="420">
    <w:name w:val="Маркированный список (для нумерованного) - 1 Знак"/>
    <w:basedOn w:val="418"/>
    <w:link w:val="421"/>
    <w:qFormat/>
    <w:locked/>
    <w:uiPriority w:val="0"/>
    <w:rPr>
      <w:rFonts w:ascii="Tahoma" w:hAnsi="Tahoma" w:eastAsia="PMingLiU" w:cs="Tahoma"/>
    </w:rPr>
  </w:style>
  <w:style w:type="paragraph" w:customStyle="1" w:styleId="421">
    <w:name w:val="Маркированный список (для нумерованного) - 1"/>
    <w:basedOn w:val="419"/>
    <w:link w:val="420"/>
    <w:qFormat/>
    <w:uiPriority w:val="0"/>
    <w:pPr>
      <w:tabs>
        <w:tab w:val="left" w:pos="851"/>
        <w:tab w:val="clear" w:pos="530"/>
      </w:tabs>
      <w:ind w:left="851" w:hanging="341"/>
    </w:pPr>
  </w:style>
  <w:style w:type="character" w:customStyle="1" w:styleId="422">
    <w:name w:val="Маркированный список (для нумерованного) - 2 Знак"/>
    <w:basedOn w:val="420"/>
    <w:link w:val="423"/>
    <w:qFormat/>
    <w:locked/>
    <w:uiPriority w:val="0"/>
    <w:rPr>
      <w:rFonts w:ascii="Tahoma" w:hAnsi="Tahoma" w:eastAsia="PMingLiU" w:cs="Tahoma"/>
    </w:rPr>
  </w:style>
  <w:style w:type="paragraph" w:customStyle="1" w:styleId="423">
    <w:name w:val="Маркированный список (для нумерованного) - 2"/>
    <w:basedOn w:val="421"/>
    <w:link w:val="422"/>
    <w:qFormat/>
    <w:uiPriority w:val="0"/>
    <w:pPr>
      <w:tabs>
        <w:tab w:val="left" w:pos="720"/>
        <w:tab w:val="left" w:pos="1134"/>
        <w:tab w:val="clear" w:pos="737"/>
        <w:tab w:val="clear" w:pos="851"/>
      </w:tabs>
      <w:ind w:left="1134" w:hanging="340"/>
    </w:pPr>
  </w:style>
  <w:style w:type="character" w:customStyle="1" w:styleId="424">
    <w:name w:val="Подпись под рис/табл Знак"/>
    <w:link w:val="425"/>
    <w:qFormat/>
    <w:locked/>
    <w:uiPriority w:val="0"/>
    <w:rPr>
      <w:rFonts w:ascii="Times New Roman CYR" w:hAnsi="Times New Roman CYR" w:eastAsia="PMingLiU" w:cs="Times New Roman CYR"/>
      <w:b/>
      <w:bCs/>
      <w:sz w:val="28"/>
      <w:szCs w:val="28"/>
    </w:rPr>
  </w:style>
  <w:style w:type="paragraph" w:customStyle="1" w:styleId="425">
    <w:name w:val="Подпись под рис/табл"/>
    <w:basedOn w:val="1"/>
    <w:next w:val="1"/>
    <w:link w:val="424"/>
    <w:qFormat/>
    <w:uiPriority w:val="0"/>
    <w:pPr>
      <w:spacing w:after="0" w:line="360" w:lineRule="atLeast"/>
      <w:jc w:val="both"/>
    </w:pPr>
    <w:rPr>
      <w:rFonts w:ascii="Times New Roman CYR" w:hAnsi="Times New Roman CYR" w:eastAsia="PMingLiU" w:cs="Times New Roman CYR"/>
      <w:b/>
      <w:bCs/>
      <w:kern w:val="0"/>
      <w:sz w:val="28"/>
      <w:szCs w:val="28"/>
      <w:lang w:eastAsia="ru-RU"/>
    </w:rPr>
  </w:style>
  <w:style w:type="character" w:customStyle="1" w:styleId="426">
    <w:name w:val="List Paragraph Char1"/>
    <w:link w:val="174"/>
    <w:qFormat/>
    <w:locked/>
    <w:uiPriority w:val="0"/>
    <w:rPr>
      <w:rFonts w:eastAsia="Times New Roman"/>
      <w:kern w:val="2"/>
      <w:sz w:val="24"/>
      <w:szCs w:val="24"/>
      <w:lang w:eastAsia="en-US"/>
    </w:rPr>
  </w:style>
  <w:style w:type="character" w:customStyle="1" w:styleId="427">
    <w:name w:val="Quote Char1"/>
    <w:link w:val="428"/>
    <w:qFormat/>
    <w:locked/>
    <w:uiPriority w:val="0"/>
    <w:rPr>
      <w:rFonts w:ascii="PMingLiU" w:hAnsi="PMingLiU" w:eastAsia="PMingLiU"/>
      <w:i/>
      <w:iCs/>
      <w:sz w:val="24"/>
      <w:szCs w:val="24"/>
      <w:lang w:val="en-US"/>
    </w:rPr>
  </w:style>
  <w:style w:type="paragraph" w:customStyle="1" w:styleId="428">
    <w:name w:val="Цитата 21"/>
    <w:basedOn w:val="1"/>
    <w:next w:val="1"/>
    <w:link w:val="427"/>
    <w:qFormat/>
    <w:uiPriority w:val="0"/>
    <w:pPr>
      <w:spacing w:after="0" w:line="240" w:lineRule="auto"/>
      <w:jc w:val="both"/>
    </w:pPr>
    <w:rPr>
      <w:rFonts w:ascii="PMingLiU" w:hAnsi="PMingLiU" w:eastAsia="PMingLiU"/>
      <w:i/>
      <w:iCs/>
      <w:kern w:val="0"/>
      <w:lang w:val="en-US" w:eastAsia="ru-RU"/>
    </w:rPr>
  </w:style>
  <w:style w:type="character" w:customStyle="1" w:styleId="429">
    <w:name w:val="Quote Char"/>
    <w:link w:val="430"/>
    <w:qFormat/>
    <w:locked/>
    <w:uiPriority w:val="0"/>
    <w:rPr>
      <w:rFonts w:ascii="PMingLiU" w:hAnsi="PMingLiU" w:eastAsia="PMingLiU"/>
      <w:i/>
      <w:sz w:val="24"/>
      <w:lang w:val="en-US"/>
    </w:rPr>
  </w:style>
  <w:style w:type="paragraph" w:customStyle="1" w:styleId="430">
    <w:name w:val="Quote1"/>
    <w:basedOn w:val="1"/>
    <w:next w:val="1"/>
    <w:link w:val="429"/>
    <w:qFormat/>
    <w:uiPriority w:val="0"/>
    <w:pPr>
      <w:spacing w:after="0" w:line="240" w:lineRule="auto"/>
      <w:jc w:val="both"/>
    </w:pPr>
    <w:rPr>
      <w:rFonts w:ascii="PMingLiU" w:hAnsi="PMingLiU" w:eastAsia="PMingLiU"/>
      <w:i/>
      <w:kern w:val="0"/>
      <w:szCs w:val="20"/>
      <w:lang w:val="en-US" w:eastAsia="ru-RU"/>
    </w:rPr>
  </w:style>
  <w:style w:type="character" w:customStyle="1" w:styleId="431">
    <w:name w:val="Intense Quote Char1"/>
    <w:link w:val="432"/>
    <w:qFormat/>
    <w:locked/>
    <w:uiPriority w:val="0"/>
    <w:rPr>
      <w:rFonts w:ascii="PMingLiU" w:hAnsi="PMingLiU" w:eastAsia="PMingLiU"/>
      <w:b/>
      <w:bCs/>
      <w:i/>
      <w:iCs/>
      <w:sz w:val="24"/>
      <w:szCs w:val="24"/>
      <w:lang w:val="en-US"/>
    </w:rPr>
  </w:style>
  <w:style w:type="paragraph" w:customStyle="1" w:styleId="432">
    <w:name w:val="Выделенная цитата1"/>
    <w:basedOn w:val="1"/>
    <w:next w:val="1"/>
    <w:link w:val="431"/>
    <w:qFormat/>
    <w:uiPriority w:val="0"/>
    <w:pPr>
      <w:spacing w:after="0" w:line="240" w:lineRule="auto"/>
      <w:ind w:left="720" w:right="720"/>
    </w:pPr>
    <w:rPr>
      <w:rFonts w:ascii="PMingLiU" w:hAnsi="PMingLiU" w:eastAsia="PMingLiU"/>
      <w:b/>
      <w:bCs/>
      <w:i/>
      <w:iCs/>
      <w:kern w:val="0"/>
      <w:lang w:val="en-US" w:eastAsia="ru-RU"/>
    </w:rPr>
  </w:style>
  <w:style w:type="character" w:customStyle="1" w:styleId="433">
    <w:name w:val="Intense Quote Char"/>
    <w:link w:val="434"/>
    <w:qFormat/>
    <w:locked/>
    <w:uiPriority w:val="0"/>
    <w:rPr>
      <w:rFonts w:ascii="PMingLiU" w:hAnsi="PMingLiU" w:eastAsia="PMingLiU"/>
      <w:b/>
      <w:i/>
      <w:sz w:val="24"/>
      <w:lang w:val="en-US"/>
    </w:rPr>
  </w:style>
  <w:style w:type="paragraph" w:customStyle="1" w:styleId="434">
    <w:name w:val="Intense Quote1"/>
    <w:basedOn w:val="1"/>
    <w:next w:val="1"/>
    <w:link w:val="433"/>
    <w:qFormat/>
    <w:uiPriority w:val="0"/>
    <w:pPr>
      <w:spacing w:after="0" w:line="240" w:lineRule="auto"/>
      <w:ind w:left="720" w:right="720"/>
    </w:pPr>
    <w:rPr>
      <w:rFonts w:ascii="PMingLiU" w:hAnsi="PMingLiU" w:eastAsia="PMingLiU"/>
      <w:b/>
      <w:i/>
      <w:kern w:val="0"/>
      <w:szCs w:val="20"/>
      <w:lang w:val="en-US" w:eastAsia="ru-RU"/>
    </w:rPr>
  </w:style>
  <w:style w:type="character" w:customStyle="1" w:styleId="435">
    <w:name w:val="заголовок 3 Знак"/>
    <w:link w:val="436"/>
    <w:qFormat/>
    <w:locked/>
    <w:uiPriority w:val="0"/>
    <w:rPr>
      <w:rFonts w:ascii="PMingLiU" w:hAnsi="PMingLiU" w:eastAsia="PMingLiU"/>
      <w:b/>
      <w:bCs/>
      <w:sz w:val="28"/>
      <w:szCs w:val="28"/>
    </w:rPr>
  </w:style>
  <w:style w:type="paragraph" w:customStyle="1" w:styleId="436">
    <w:name w:val="заголовок 3"/>
    <w:basedOn w:val="4"/>
    <w:link w:val="435"/>
    <w:qFormat/>
    <w:uiPriority w:val="0"/>
    <w:pPr>
      <w:keepLines w:val="0"/>
      <w:widowControl w:val="0"/>
      <w:tabs>
        <w:tab w:val="left" w:pos="720"/>
      </w:tabs>
      <w:adjustRightInd w:val="0"/>
      <w:spacing w:before="360" w:after="360" w:line="240" w:lineRule="auto"/>
      <w:ind w:left="720" w:hanging="720"/>
    </w:pPr>
    <w:rPr>
      <w:rFonts w:ascii="PMingLiU" w:hAnsi="PMingLiU" w:eastAsia="PMingLiU"/>
      <w:color w:val="auto"/>
      <w:sz w:val="28"/>
      <w:szCs w:val="28"/>
      <w:lang w:eastAsia="ru-RU"/>
    </w:rPr>
  </w:style>
  <w:style w:type="character" w:customStyle="1" w:styleId="437">
    <w:name w:val="заголовок 2 Знак"/>
    <w:link w:val="438"/>
    <w:qFormat/>
    <w:locked/>
    <w:uiPriority w:val="0"/>
    <w:rPr>
      <w:rFonts w:ascii="PMingLiU" w:hAnsi="PMingLiU" w:eastAsia="PMingLiU"/>
      <w:sz w:val="28"/>
      <w:szCs w:val="28"/>
    </w:rPr>
  </w:style>
  <w:style w:type="paragraph" w:customStyle="1" w:styleId="438">
    <w:name w:val="заголовок 2"/>
    <w:basedOn w:val="3"/>
    <w:link w:val="437"/>
    <w:qFormat/>
    <w:uiPriority w:val="0"/>
    <w:pPr>
      <w:keepLines/>
      <w:tabs>
        <w:tab w:val="left" w:pos="576"/>
      </w:tabs>
      <w:suppressAutoHyphens/>
      <w:adjustRightInd w:val="0"/>
      <w:snapToGrid w:val="0"/>
      <w:spacing w:before="360" w:after="360"/>
      <w:ind w:left="576" w:hanging="576"/>
    </w:pPr>
    <w:rPr>
      <w:rFonts w:ascii="PMingLiU" w:hAnsi="PMingLiU" w:eastAsia="PMingLiU"/>
      <w:b w:val="0"/>
      <w:bCs w:val="0"/>
      <w:i w:val="0"/>
      <w:iCs w:val="0"/>
    </w:rPr>
  </w:style>
  <w:style w:type="character" w:customStyle="1" w:styleId="439">
    <w:name w:val="заголовок 4 Знак"/>
    <w:link w:val="440"/>
    <w:qFormat/>
    <w:locked/>
    <w:uiPriority w:val="0"/>
    <w:rPr>
      <w:rFonts w:ascii="PMingLiU" w:hAnsi="PMingLiU" w:eastAsia="PMingLiU"/>
      <w:b/>
      <w:bCs/>
      <w:sz w:val="24"/>
      <w:szCs w:val="24"/>
    </w:rPr>
  </w:style>
  <w:style w:type="paragraph" w:customStyle="1" w:styleId="440">
    <w:name w:val="заголовок 4"/>
    <w:basedOn w:val="5"/>
    <w:link w:val="439"/>
    <w:qFormat/>
    <w:uiPriority w:val="0"/>
    <w:pPr>
      <w:widowControl w:val="0"/>
      <w:tabs>
        <w:tab w:val="left" w:pos="864"/>
        <w:tab w:val="left" w:pos="907"/>
      </w:tabs>
      <w:adjustRightInd w:val="0"/>
      <w:spacing w:after="120"/>
      <w:ind w:left="864" w:hanging="864"/>
    </w:pPr>
    <w:rPr>
      <w:rFonts w:ascii="PMingLiU" w:hAnsi="PMingLiU" w:eastAsia="PMingLiU"/>
      <w:sz w:val="24"/>
      <w:szCs w:val="24"/>
    </w:rPr>
  </w:style>
  <w:style w:type="character" w:customStyle="1" w:styleId="441">
    <w:name w:val="НИР Заг 1 Знак"/>
    <w:link w:val="442"/>
    <w:qFormat/>
    <w:locked/>
    <w:uiPriority w:val="0"/>
    <w:rPr>
      <w:rFonts w:ascii="PMingLiU" w:hAnsi="PMingLiU" w:eastAsia="PMingLiU"/>
      <w:kern w:val="32"/>
      <w:sz w:val="32"/>
      <w:szCs w:val="32"/>
    </w:rPr>
  </w:style>
  <w:style w:type="paragraph" w:customStyle="1" w:styleId="442">
    <w:name w:val="НИР Заг 1"/>
    <w:basedOn w:val="2"/>
    <w:link w:val="441"/>
    <w:qFormat/>
    <w:uiPriority w:val="0"/>
    <w:pPr>
      <w:widowControl w:val="0"/>
      <w:adjustRightInd w:val="0"/>
      <w:snapToGrid w:val="0"/>
      <w:spacing w:before="480" w:after="480"/>
    </w:pPr>
    <w:rPr>
      <w:rFonts w:ascii="PMingLiU" w:hAnsi="PMingLiU" w:eastAsia="PMingLiU"/>
      <w:b w:val="0"/>
      <w:bCs w:val="0"/>
    </w:rPr>
  </w:style>
  <w:style w:type="character" w:customStyle="1" w:styleId="443">
    <w:name w:val="НИР Заг 2 Знак"/>
    <w:link w:val="444"/>
    <w:qFormat/>
    <w:locked/>
    <w:uiPriority w:val="0"/>
    <w:rPr>
      <w:rFonts w:ascii="PMingLiU" w:hAnsi="PMingLiU" w:eastAsia="PMingLiU"/>
      <w:sz w:val="28"/>
      <w:szCs w:val="28"/>
    </w:rPr>
  </w:style>
  <w:style w:type="paragraph" w:customStyle="1" w:styleId="444">
    <w:name w:val="НИР Заг 2"/>
    <w:basedOn w:val="3"/>
    <w:link w:val="443"/>
    <w:qFormat/>
    <w:uiPriority w:val="0"/>
    <w:pPr>
      <w:widowControl w:val="0"/>
      <w:adjustRightInd w:val="0"/>
      <w:snapToGrid w:val="0"/>
      <w:spacing w:before="360" w:after="360"/>
    </w:pPr>
    <w:rPr>
      <w:rFonts w:ascii="PMingLiU" w:hAnsi="PMingLiU" w:eastAsia="PMingLiU"/>
      <w:b w:val="0"/>
      <w:bCs w:val="0"/>
      <w:i w:val="0"/>
      <w:iCs w:val="0"/>
    </w:rPr>
  </w:style>
  <w:style w:type="character" w:customStyle="1" w:styleId="445">
    <w:name w:val="НИР Заг 3 Знак"/>
    <w:link w:val="446"/>
    <w:qFormat/>
    <w:locked/>
    <w:uiPriority w:val="0"/>
    <w:rPr>
      <w:rFonts w:ascii="PMingLiU" w:hAnsi="PMingLiU" w:eastAsia="PMingLiU"/>
      <w:sz w:val="28"/>
      <w:szCs w:val="28"/>
    </w:rPr>
  </w:style>
  <w:style w:type="paragraph" w:customStyle="1" w:styleId="446">
    <w:name w:val="НИР Заг 3"/>
    <w:basedOn w:val="4"/>
    <w:link w:val="445"/>
    <w:qFormat/>
    <w:uiPriority w:val="0"/>
    <w:pPr>
      <w:keepLines w:val="0"/>
      <w:widowControl w:val="0"/>
      <w:adjustRightInd w:val="0"/>
      <w:spacing w:before="360" w:after="360" w:line="240" w:lineRule="auto"/>
    </w:pPr>
    <w:rPr>
      <w:rFonts w:ascii="PMingLiU" w:hAnsi="PMingLiU" w:eastAsia="PMingLiU"/>
      <w:b w:val="0"/>
      <w:bCs w:val="0"/>
      <w:color w:val="auto"/>
      <w:sz w:val="28"/>
      <w:szCs w:val="28"/>
      <w:lang w:eastAsia="ru-RU"/>
    </w:rPr>
  </w:style>
  <w:style w:type="character" w:customStyle="1" w:styleId="447">
    <w:name w:val="НИР Заг 4 Знак"/>
    <w:link w:val="448"/>
    <w:qFormat/>
    <w:locked/>
    <w:uiPriority w:val="0"/>
    <w:rPr>
      <w:rFonts w:ascii="PMingLiU" w:hAnsi="PMingLiU" w:eastAsia="PMingLiU"/>
      <w:b/>
      <w:bCs/>
      <w:sz w:val="24"/>
      <w:szCs w:val="24"/>
    </w:rPr>
  </w:style>
  <w:style w:type="paragraph" w:customStyle="1" w:styleId="448">
    <w:name w:val="НИР Заг 4"/>
    <w:basedOn w:val="5"/>
    <w:link w:val="447"/>
    <w:qFormat/>
    <w:uiPriority w:val="0"/>
    <w:pPr>
      <w:widowControl w:val="0"/>
      <w:tabs>
        <w:tab w:val="left" w:pos="907"/>
      </w:tabs>
      <w:suppressAutoHyphens/>
      <w:adjustRightInd w:val="0"/>
      <w:spacing w:after="120" w:line="360" w:lineRule="auto"/>
      <w:ind w:left="3481" w:hanging="360"/>
    </w:pPr>
    <w:rPr>
      <w:rFonts w:ascii="PMingLiU" w:hAnsi="PMingLiU" w:eastAsia="PMingLiU"/>
      <w:sz w:val="24"/>
      <w:szCs w:val="24"/>
    </w:rPr>
  </w:style>
  <w:style w:type="character" w:customStyle="1" w:styleId="449">
    <w:name w:val="НИР Основной текст Знак"/>
    <w:link w:val="450"/>
    <w:qFormat/>
    <w:locked/>
    <w:uiPriority w:val="0"/>
    <w:rPr>
      <w:rFonts w:ascii="PMingLiU" w:hAnsi="PMingLiU" w:eastAsia="PMingLiU"/>
      <w:sz w:val="24"/>
      <w:szCs w:val="24"/>
    </w:rPr>
  </w:style>
  <w:style w:type="paragraph" w:customStyle="1" w:styleId="450">
    <w:name w:val="НИР Основной текст"/>
    <w:basedOn w:val="1"/>
    <w:link w:val="449"/>
    <w:qFormat/>
    <w:uiPriority w:val="0"/>
    <w:pPr>
      <w:spacing w:after="0" w:line="360" w:lineRule="auto"/>
      <w:ind w:firstLine="680"/>
      <w:jc w:val="both"/>
    </w:pPr>
    <w:rPr>
      <w:rFonts w:ascii="PMingLiU" w:hAnsi="PMingLiU" w:eastAsia="PMingLiU"/>
      <w:kern w:val="0"/>
      <w:lang w:eastAsia="ru-RU"/>
    </w:rPr>
  </w:style>
  <w:style w:type="character" w:customStyle="1" w:styleId="451">
    <w:name w:val="НИР Буллит Знак"/>
    <w:link w:val="452"/>
    <w:qFormat/>
    <w:locked/>
    <w:uiPriority w:val="0"/>
    <w:rPr>
      <w:rFonts w:ascii="PMingLiU" w:hAnsi="PMingLiU" w:eastAsia="PMingLiU" w:cs="Times New Roman"/>
      <w:sz w:val="24"/>
      <w:szCs w:val="24"/>
      <w:lang w:val="en-US"/>
    </w:rPr>
  </w:style>
  <w:style w:type="paragraph" w:customStyle="1" w:styleId="452">
    <w:name w:val="НИР Буллит"/>
    <w:basedOn w:val="174"/>
    <w:link w:val="451"/>
    <w:qFormat/>
    <w:uiPriority w:val="0"/>
    <w:pPr>
      <w:numPr>
        <w:ilvl w:val="0"/>
        <w:numId w:val="7"/>
      </w:numPr>
      <w:tabs>
        <w:tab w:val="left" w:pos="360"/>
      </w:tabs>
      <w:spacing w:after="0" w:line="360" w:lineRule="auto"/>
      <w:ind w:left="720" w:firstLine="0"/>
      <w:jc w:val="both"/>
    </w:pPr>
    <w:rPr>
      <w:rFonts w:ascii="PMingLiU" w:hAnsi="PMingLiU" w:eastAsia="PMingLiU"/>
      <w:kern w:val="0"/>
      <w:lang w:val="en-US" w:eastAsia="ru-RU"/>
    </w:rPr>
  </w:style>
  <w:style w:type="character" w:customStyle="1" w:styleId="453">
    <w:name w:val="НИР НумСпис Знак"/>
    <w:link w:val="454"/>
    <w:qFormat/>
    <w:locked/>
    <w:uiPriority w:val="0"/>
    <w:rPr>
      <w:rFonts w:ascii="PMingLiU" w:hAnsi="PMingLiU" w:eastAsia="PMingLiU" w:cs="Times New Roman"/>
      <w:sz w:val="24"/>
      <w:szCs w:val="24"/>
      <w:lang w:val="en-US"/>
    </w:rPr>
  </w:style>
  <w:style w:type="paragraph" w:customStyle="1" w:styleId="454">
    <w:name w:val="НИР НумСпис"/>
    <w:basedOn w:val="174"/>
    <w:link w:val="453"/>
    <w:qFormat/>
    <w:uiPriority w:val="0"/>
    <w:pPr>
      <w:widowControl w:val="0"/>
      <w:numPr>
        <w:ilvl w:val="0"/>
        <w:numId w:val="8"/>
      </w:numPr>
      <w:tabs>
        <w:tab w:val="left" w:pos="360"/>
      </w:tabs>
      <w:spacing w:after="0" w:line="360" w:lineRule="auto"/>
      <w:ind w:left="720" w:firstLine="0"/>
      <w:jc w:val="both"/>
    </w:pPr>
    <w:rPr>
      <w:rFonts w:ascii="PMingLiU" w:hAnsi="PMingLiU" w:eastAsia="PMingLiU"/>
      <w:kern w:val="0"/>
      <w:lang w:val="en-US" w:eastAsia="ru-RU"/>
    </w:rPr>
  </w:style>
  <w:style w:type="character" w:customStyle="1" w:styleId="455">
    <w:name w:val="НИР Рисунок Знак"/>
    <w:link w:val="456"/>
    <w:qFormat/>
    <w:locked/>
    <w:uiPriority w:val="0"/>
    <w:rPr>
      <w:rFonts w:ascii="Tahoma" w:hAnsi="Tahoma" w:eastAsia="PMingLiU" w:cs="Tahoma"/>
      <w:b/>
      <w:bCs/>
      <w:sz w:val="24"/>
      <w:szCs w:val="24"/>
    </w:rPr>
  </w:style>
  <w:style w:type="paragraph" w:customStyle="1" w:styleId="456">
    <w:name w:val="НИР Рисунок"/>
    <w:basedOn w:val="43"/>
    <w:link w:val="455"/>
    <w:qFormat/>
    <w:uiPriority w:val="0"/>
    <w:pPr>
      <w:spacing w:before="120" w:after="120"/>
      <w:jc w:val="center"/>
    </w:pPr>
    <w:rPr>
      <w:rFonts w:ascii="Tahoma" w:hAnsi="Tahoma" w:eastAsia="PMingLiU" w:cs="Tahoma"/>
      <w:color w:val="auto"/>
      <w:kern w:val="0"/>
      <w:sz w:val="24"/>
      <w:szCs w:val="24"/>
      <w:lang w:eastAsia="ru-RU"/>
    </w:rPr>
  </w:style>
  <w:style w:type="character" w:customStyle="1" w:styleId="457">
    <w:name w:val="НИР Таблица Знак"/>
    <w:link w:val="458"/>
    <w:qFormat/>
    <w:locked/>
    <w:uiPriority w:val="0"/>
    <w:rPr>
      <w:rFonts w:ascii="PMingLiU" w:hAnsi="PMingLiU" w:eastAsia="PMingLiU"/>
      <w:b/>
      <w:bCs/>
      <w:sz w:val="24"/>
      <w:szCs w:val="24"/>
    </w:rPr>
  </w:style>
  <w:style w:type="paragraph" w:customStyle="1" w:styleId="458">
    <w:name w:val="НИР Таблица"/>
    <w:basedOn w:val="43"/>
    <w:link w:val="457"/>
    <w:qFormat/>
    <w:uiPriority w:val="0"/>
    <w:pPr>
      <w:keepNext/>
      <w:spacing w:before="120" w:after="120"/>
      <w:jc w:val="right"/>
    </w:pPr>
    <w:rPr>
      <w:rFonts w:ascii="PMingLiU" w:hAnsi="PMingLiU" w:eastAsia="PMingLiU"/>
      <w:color w:val="auto"/>
      <w:kern w:val="0"/>
      <w:sz w:val="24"/>
      <w:szCs w:val="24"/>
      <w:lang w:eastAsia="ru-RU"/>
    </w:rPr>
  </w:style>
  <w:style w:type="character" w:customStyle="1" w:styleId="459">
    <w:name w:val="второй уровень Знак"/>
    <w:link w:val="460"/>
    <w:qFormat/>
    <w:locked/>
    <w:uiPriority w:val="0"/>
    <w:rPr>
      <w:rFonts w:ascii="PMingLiU" w:hAnsi="PMingLiU" w:eastAsia="PMingLiU"/>
      <w:b/>
      <w:bCs/>
      <w:sz w:val="28"/>
      <w:szCs w:val="28"/>
    </w:rPr>
  </w:style>
  <w:style w:type="paragraph" w:customStyle="1" w:styleId="460">
    <w:name w:val="второй уровень"/>
    <w:basedOn w:val="3"/>
    <w:link w:val="459"/>
    <w:qFormat/>
    <w:uiPriority w:val="0"/>
    <w:pPr>
      <w:tabs>
        <w:tab w:val="left" w:pos="576"/>
      </w:tabs>
      <w:snapToGrid w:val="0"/>
      <w:spacing w:before="360" w:after="240" w:line="360" w:lineRule="auto"/>
      <w:ind w:left="576" w:right="284" w:hanging="576"/>
      <w:jc w:val="both"/>
    </w:pPr>
    <w:rPr>
      <w:rFonts w:ascii="PMingLiU" w:hAnsi="PMingLiU" w:eastAsia="PMingLiU"/>
      <w:i w:val="0"/>
      <w:iCs w:val="0"/>
    </w:rPr>
  </w:style>
  <w:style w:type="character" w:customStyle="1" w:styleId="461">
    <w:name w:val="третий уровень Знак"/>
    <w:link w:val="462"/>
    <w:qFormat/>
    <w:locked/>
    <w:uiPriority w:val="0"/>
    <w:rPr>
      <w:rFonts w:ascii="PMingLiU" w:hAnsi="PMingLiU" w:eastAsia="PMingLiU"/>
      <w:sz w:val="28"/>
      <w:szCs w:val="28"/>
    </w:rPr>
  </w:style>
  <w:style w:type="paragraph" w:customStyle="1" w:styleId="462">
    <w:name w:val="третий уровень"/>
    <w:basedOn w:val="4"/>
    <w:link w:val="461"/>
    <w:qFormat/>
    <w:uiPriority w:val="0"/>
    <w:pPr>
      <w:keepLines w:val="0"/>
      <w:tabs>
        <w:tab w:val="left" w:pos="720"/>
      </w:tabs>
      <w:spacing w:before="360" w:after="240" w:line="240" w:lineRule="auto"/>
      <w:ind w:left="720" w:hanging="720"/>
    </w:pPr>
    <w:rPr>
      <w:rFonts w:ascii="PMingLiU" w:hAnsi="PMingLiU" w:eastAsia="PMingLiU"/>
      <w:b w:val="0"/>
      <w:bCs w:val="0"/>
      <w:color w:val="auto"/>
      <w:sz w:val="28"/>
      <w:szCs w:val="28"/>
      <w:lang w:eastAsia="ru-RU"/>
    </w:rPr>
  </w:style>
  <w:style w:type="character" w:customStyle="1" w:styleId="463">
    <w:name w:val="4 уровень Знак"/>
    <w:link w:val="464"/>
    <w:qFormat/>
    <w:locked/>
    <w:uiPriority w:val="0"/>
    <w:rPr>
      <w:rFonts w:ascii="PMingLiU" w:hAnsi="PMingLiU" w:eastAsia="PMingLiU"/>
      <w:b/>
      <w:bCs/>
      <w:sz w:val="28"/>
      <w:szCs w:val="28"/>
    </w:rPr>
  </w:style>
  <w:style w:type="paragraph" w:customStyle="1" w:styleId="464">
    <w:name w:val="4 уровень"/>
    <w:basedOn w:val="5"/>
    <w:link w:val="463"/>
    <w:qFormat/>
    <w:uiPriority w:val="0"/>
    <w:pPr>
      <w:tabs>
        <w:tab w:val="left" w:pos="907"/>
      </w:tabs>
      <w:spacing w:after="120"/>
      <w:ind w:left="907" w:hanging="907"/>
    </w:pPr>
    <w:rPr>
      <w:rFonts w:ascii="PMingLiU" w:hAnsi="PMingLiU" w:eastAsia="PMingLiU"/>
    </w:rPr>
  </w:style>
  <w:style w:type="character" w:customStyle="1" w:styleId="465">
    <w:name w:val="НИР Заг 0 чистый Знак"/>
    <w:link w:val="466"/>
    <w:qFormat/>
    <w:locked/>
    <w:uiPriority w:val="0"/>
    <w:rPr>
      <w:rFonts w:ascii="PMingLiU" w:hAnsi="PMingLiU" w:eastAsia="PMingLiU"/>
      <w:b/>
      <w:bCs/>
      <w:caps/>
      <w:kern w:val="32"/>
      <w:sz w:val="24"/>
      <w:szCs w:val="24"/>
    </w:rPr>
  </w:style>
  <w:style w:type="paragraph" w:customStyle="1" w:styleId="466">
    <w:name w:val="НИР Заг 0 чистый"/>
    <w:link w:val="465"/>
    <w:qFormat/>
    <w:uiPriority w:val="0"/>
    <w:pPr>
      <w:spacing w:after="200" w:line="276" w:lineRule="auto"/>
      <w:jc w:val="center"/>
    </w:pPr>
    <w:rPr>
      <w:rFonts w:ascii="PMingLiU" w:hAnsi="PMingLiU" w:eastAsia="PMingLiU" w:cs="Times New Roman"/>
      <w:b/>
      <w:bCs/>
      <w:caps/>
      <w:kern w:val="32"/>
      <w:sz w:val="24"/>
      <w:szCs w:val="24"/>
      <w:lang w:val="ru-RU" w:eastAsia="ru-RU" w:bidi="ar-SA"/>
    </w:rPr>
  </w:style>
  <w:style w:type="character" w:customStyle="1" w:styleId="467">
    <w:name w:val="НИР Заг 5 Знак"/>
    <w:link w:val="468"/>
    <w:qFormat/>
    <w:locked/>
    <w:uiPriority w:val="0"/>
    <w:rPr>
      <w:rFonts w:ascii="PMingLiU" w:hAnsi="PMingLiU" w:eastAsia="PMingLiU"/>
      <w:i/>
      <w:iCs/>
      <w:sz w:val="24"/>
      <w:szCs w:val="24"/>
    </w:rPr>
  </w:style>
  <w:style w:type="paragraph" w:customStyle="1" w:styleId="468">
    <w:name w:val="НИР Заг 5"/>
    <w:basedOn w:val="6"/>
    <w:link w:val="467"/>
    <w:qFormat/>
    <w:uiPriority w:val="0"/>
    <w:pPr>
      <w:keepNext w:val="0"/>
      <w:keepLines w:val="0"/>
      <w:widowControl w:val="0"/>
      <w:adjustRightInd w:val="0"/>
      <w:spacing w:before="240" w:after="240" w:line="240" w:lineRule="auto"/>
    </w:pPr>
    <w:rPr>
      <w:rFonts w:ascii="PMingLiU" w:hAnsi="PMingLiU" w:eastAsia="PMingLiU"/>
      <w:i/>
      <w:iCs/>
      <w:color w:val="auto"/>
      <w:sz w:val="24"/>
      <w:szCs w:val="24"/>
      <w:lang w:eastAsia="ru-RU"/>
    </w:rPr>
  </w:style>
  <w:style w:type="character" w:customStyle="1" w:styleId="469">
    <w:name w:val="НИР Заг 1 чистый Знак"/>
    <w:link w:val="470"/>
    <w:qFormat/>
    <w:locked/>
    <w:uiPriority w:val="0"/>
    <w:rPr>
      <w:rFonts w:ascii="PMingLiU" w:hAnsi="PMingLiU" w:eastAsia="PMingLiU"/>
      <w:b/>
      <w:bCs/>
      <w:caps/>
      <w:kern w:val="32"/>
      <w:sz w:val="24"/>
      <w:szCs w:val="24"/>
    </w:rPr>
  </w:style>
  <w:style w:type="paragraph" w:customStyle="1" w:styleId="470">
    <w:name w:val="НИР Заг 1 чистый"/>
    <w:next w:val="450"/>
    <w:link w:val="469"/>
    <w:qFormat/>
    <w:uiPriority w:val="0"/>
    <w:pPr>
      <w:keepNext/>
      <w:pageBreakBefore/>
      <w:spacing w:after="240" w:line="276" w:lineRule="auto"/>
      <w:jc w:val="center"/>
      <w:outlineLvl w:val="0"/>
    </w:pPr>
    <w:rPr>
      <w:rFonts w:ascii="PMingLiU" w:hAnsi="PMingLiU" w:eastAsia="PMingLiU" w:cs="Times New Roman"/>
      <w:b/>
      <w:bCs/>
      <w:caps/>
      <w:kern w:val="32"/>
      <w:sz w:val="24"/>
      <w:szCs w:val="24"/>
      <w:lang w:val="ru-RU" w:eastAsia="ru-RU" w:bidi="ar-SA"/>
    </w:rPr>
  </w:style>
  <w:style w:type="character" w:customStyle="1" w:styleId="471">
    <w:name w:val="Подзаголовок2 Знак"/>
    <w:link w:val="472"/>
    <w:qFormat/>
    <w:locked/>
    <w:uiPriority w:val="0"/>
    <w:rPr>
      <w:rFonts w:ascii="PMingLiU" w:hAnsi="PMingLiU" w:eastAsia="PMingLiU"/>
      <w:b/>
      <w:bCs/>
      <w:caps/>
      <w:kern w:val="32"/>
      <w:sz w:val="24"/>
      <w:szCs w:val="24"/>
    </w:rPr>
  </w:style>
  <w:style w:type="paragraph" w:customStyle="1" w:styleId="472">
    <w:name w:val="Подзаголовок2"/>
    <w:basedOn w:val="1"/>
    <w:link w:val="471"/>
    <w:qFormat/>
    <w:uiPriority w:val="0"/>
    <w:pPr>
      <w:widowControl w:val="0"/>
      <w:tabs>
        <w:tab w:val="left" w:pos="567"/>
      </w:tabs>
      <w:snapToGrid w:val="0"/>
      <w:spacing w:after="0" w:line="360" w:lineRule="auto"/>
      <w:outlineLvl w:val="0"/>
    </w:pPr>
    <w:rPr>
      <w:rFonts w:ascii="PMingLiU" w:hAnsi="PMingLiU" w:eastAsia="PMingLiU"/>
      <w:b/>
      <w:bCs/>
      <w:caps/>
      <w:kern w:val="32"/>
      <w:lang w:eastAsia="ru-RU"/>
    </w:rPr>
  </w:style>
  <w:style w:type="character" w:customStyle="1" w:styleId="473">
    <w:name w:val="List Paragraph Char"/>
    <w:link w:val="474"/>
    <w:qFormat/>
    <w:locked/>
    <w:uiPriority w:val="0"/>
    <w:rPr>
      <w:rFonts w:ascii="PMingLiU" w:hAnsi="PMingLiU" w:eastAsia="PMingLiU"/>
      <w:sz w:val="24"/>
      <w:szCs w:val="24"/>
      <w:lang w:val="en-US"/>
    </w:rPr>
  </w:style>
  <w:style w:type="paragraph" w:customStyle="1" w:styleId="474">
    <w:name w:val="List Paragraph1"/>
    <w:basedOn w:val="1"/>
    <w:link w:val="473"/>
    <w:qFormat/>
    <w:uiPriority w:val="0"/>
    <w:pPr>
      <w:spacing w:after="0" w:line="240" w:lineRule="auto"/>
      <w:ind w:left="720"/>
    </w:pPr>
    <w:rPr>
      <w:rFonts w:ascii="PMingLiU" w:hAnsi="PMingLiU" w:eastAsia="PMingLiU"/>
      <w:kern w:val="0"/>
      <w:lang w:val="en-US" w:eastAsia="ru-RU"/>
    </w:rPr>
  </w:style>
  <w:style w:type="character" w:customStyle="1" w:styleId="475">
    <w:name w:val="bold"/>
    <w:basedOn w:val="11"/>
    <w:qFormat/>
    <w:uiPriority w:val="0"/>
  </w:style>
  <w:style w:type="paragraph" w:customStyle="1" w:styleId="476">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eastAsia="Times New Roman"/>
      <w:kern w:val="0"/>
      <w:sz w:val="20"/>
      <w:szCs w:val="20"/>
      <w:lang w:eastAsia="ru-RU"/>
    </w:rPr>
  </w:style>
  <w:style w:type="character" w:customStyle="1" w:styleId="477">
    <w:name w:val="Font Style18"/>
    <w:basedOn w:val="11"/>
    <w:qFormat/>
    <w:uiPriority w:val="0"/>
    <w:rPr>
      <w:rFonts w:ascii="Century Schoolbook" w:hAnsi="Century Schoolbook" w:cs="Century Schoolbook"/>
      <w:i/>
      <w:iCs/>
      <w:sz w:val="20"/>
      <w:szCs w:val="20"/>
    </w:rPr>
  </w:style>
  <w:style w:type="character" w:customStyle="1" w:styleId="478">
    <w:name w:val="Font Style20"/>
    <w:basedOn w:val="11"/>
    <w:qFormat/>
    <w:uiPriority w:val="0"/>
    <w:rPr>
      <w:rFonts w:ascii="Century Schoolbook" w:hAnsi="Century Schoolbook" w:cs="Century Schoolbook"/>
      <w:sz w:val="12"/>
      <w:szCs w:val="12"/>
    </w:rPr>
  </w:style>
  <w:style w:type="character" w:customStyle="1" w:styleId="479">
    <w:name w:val="Font Style21"/>
    <w:basedOn w:val="11"/>
    <w:qFormat/>
    <w:uiPriority w:val="0"/>
    <w:rPr>
      <w:rFonts w:ascii="Arial" w:hAnsi="Arial" w:cs="Arial"/>
      <w:b/>
      <w:bCs/>
      <w:sz w:val="16"/>
      <w:szCs w:val="16"/>
    </w:rPr>
  </w:style>
  <w:style w:type="character" w:customStyle="1" w:styleId="480">
    <w:name w:val="Font Style22"/>
    <w:basedOn w:val="11"/>
    <w:qFormat/>
    <w:uiPriority w:val="0"/>
    <w:rPr>
      <w:rFonts w:ascii="Arial" w:hAnsi="Arial" w:cs="Arial"/>
      <w:sz w:val="22"/>
      <w:szCs w:val="22"/>
    </w:rPr>
  </w:style>
  <w:style w:type="character" w:customStyle="1" w:styleId="481">
    <w:name w:val="Font Style24"/>
    <w:basedOn w:val="11"/>
    <w:qFormat/>
    <w:uiPriority w:val="0"/>
    <w:rPr>
      <w:rFonts w:ascii="Arial" w:hAnsi="Arial" w:cs="Arial"/>
      <w:sz w:val="20"/>
      <w:szCs w:val="20"/>
    </w:rPr>
  </w:style>
  <w:style w:type="character" w:customStyle="1" w:styleId="482">
    <w:name w:val="Font Style26"/>
    <w:basedOn w:val="11"/>
    <w:qFormat/>
    <w:uiPriority w:val="0"/>
    <w:rPr>
      <w:rFonts w:ascii="Arial" w:hAnsi="Arial" w:cs="Arial"/>
      <w:sz w:val="16"/>
      <w:szCs w:val="16"/>
    </w:rPr>
  </w:style>
  <w:style w:type="character" w:customStyle="1" w:styleId="483">
    <w:name w:val="Font Style27"/>
    <w:basedOn w:val="11"/>
    <w:qFormat/>
    <w:uiPriority w:val="0"/>
    <w:rPr>
      <w:rFonts w:ascii="Book Antiqua" w:hAnsi="Book Antiqua" w:cs="Book Antiqua"/>
      <w:b/>
      <w:bCs/>
      <w:sz w:val="14"/>
      <w:szCs w:val="14"/>
    </w:rPr>
  </w:style>
  <w:style w:type="character" w:customStyle="1" w:styleId="484">
    <w:name w:val="Font Style28"/>
    <w:basedOn w:val="11"/>
    <w:qFormat/>
    <w:uiPriority w:val="0"/>
    <w:rPr>
      <w:rFonts w:ascii="Arial" w:hAnsi="Arial" w:cs="Arial"/>
      <w:sz w:val="16"/>
      <w:szCs w:val="16"/>
    </w:rPr>
  </w:style>
  <w:style w:type="character" w:customStyle="1" w:styleId="485">
    <w:name w:val="Font Style19"/>
    <w:basedOn w:val="11"/>
    <w:qFormat/>
    <w:uiPriority w:val="0"/>
    <w:rPr>
      <w:rFonts w:ascii="Arial" w:hAnsi="Arial" w:cs="Arial"/>
      <w:b/>
      <w:bCs/>
      <w:sz w:val="18"/>
      <w:szCs w:val="18"/>
    </w:rPr>
  </w:style>
  <w:style w:type="paragraph" w:customStyle="1" w:styleId="486">
    <w:name w:val="Main"/>
    <w:link w:val="487"/>
    <w:qFormat/>
    <w:uiPriority w:val="0"/>
    <w:pPr>
      <w:widowControl w:val="0"/>
      <w:spacing w:after="160" w:line="360" w:lineRule="auto"/>
      <w:ind w:firstLine="709"/>
      <w:jc w:val="both"/>
    </w:pPr>
    <w:rPr>
      <w:rFonts w:ascii="Times New Roman" w:hAnsi="Times New Roman" w:eastAsia="Times New Roman" w:cs="Times New Roman"/>
      <w:sz w:val="24"/>
      <w:szCs w:val="24"/>
      <w:lang w:val="ru-RU" w:eastAsia="ru-RU" w:bidi="ar-SA"/>
    </w:rPr>
  </w:style>
  <w:style w:type="character" w:customStyle="1" w:styleId="487">
    <w:name w:val="Main Знак"/>
    <w:basedOn w:val="11"/>
    <w:link w:val="486"/>
    <w:qFormat/>
    <w:locked/>
    <w:uiPriority w:val="0"/>
    <w:rPr>
      <w:rFonts w:eastAsia="Times New Roman"/>
      <w:sz w:val="24"/>
      <w:szCs w:val="24"/>
    </w:rPr>
  </w:style>
  <w:style w:type="character" w:customStyle="1" w:styleId="488">
    <w:name w:val="Обычный отступ Знак"/>
    <w:link w:val="38"/>
    <w:qFormat/>
    <w:uiPriority w:val="0"/>
    <w:rPr>
      <w:rFonts w:ascii="Arial" w:hAnsi="Arial" w:eastAsia="Times New Roman"/>
      <w:sz w:val="24"/>
      <w:szCs w:val="24"/>
      <w:lang w:eastAsia="en-US"/>
    </w:rPr>
  </w:style>
  <w:style w:type="paragraph" w:customStyle="1" w:styleId="4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8"/>
      <w:szCs w:val="28"/>
      <w:lang w:eastAsia="ru-RU"/>
    </w:rPr>
  </w:style>
  <w:style w:type="paragraph" w:customStyle="1" w:styleId="4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8"/>
      <w:szCs w:val="28"/>
      <w:lang w:eastAsia="ru-RU"/>
    </w:rPr>
  </w:style>
  <w:style w:type="paragraph" w:customStyle="1" w:styleId="49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8"/>
      <w:szCs w:val="28"/>
      <w:lang w:eastAsia="ru-RU"/>
    </w:rPr>
  </w:style>
  <w:style w:type="paragraph" w:customStyle="1" w:styleId="492">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8"/>
      <w:szCs w:val="28"/>
      <w:lang w:eastAsia="ru-RU"/>
    </w:rPr>
  </w:style>
  <w:style w:type="paragraph" w:customStyle="1" w:styleId="493">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8"/>
      <w:szCs w:val="28"/>
      <w:u w:val="single"/>
      <w:lang w:eastAsia="ru-RU"/>
    </w:rPr>
  </w:style>
  <w:style w:type="paragraph" w:customStyle="1" w:styleId="494">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lang w:eastAsia="ru-RU"/>
    </w:rPr>
  </w:style>
  <w:style w:type="paragraph" w:customStyle="1" w:styleId="49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eastAsia="Times New Roman"/>
      <w:kern w:val="0"/>
      <w:lang w:eastAsia="ru-RU"/>
    </w:rPr>
  </w:style>
  <w:style w:type="paragraph" w:customStyle="1" w:styleId="496">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8"/>
      <w:szCs w:val="28"/>
      <w:lang w:eastAsia="ru-RU"/>
    </w:rPr>
  </w:style>
  <w:style w:type="paragraph" w:customStyle="1" w:styleId="497">
    <w:name w:val="xl79"/>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8"/>
      <w:szCs w:val="28"/>
      <w:lang w:eastAsia="ru-RU"/>
    </w:rPr>
  </w:style>
  <w:style w:type="paragraph" w:customStyle="1" w:styleId="498">
    <w:name w:val="xl80"/>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8"/>
      <w:szCs w:val="28"/>
      <w:lang w:eastAsia="ru-RU"/>
    </w:rPr>
  </w:style>
  <w:style w:type="paragraph" w:customStyle="1" w:styleId="499">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both"/>
    </w:pPr>
    <w:rPr>
      <w:rFonts w:eastAsia="Times New Roman"/>
      <w:kern w:val="0"/>
      <w:sz w:val="28"/>
      <w:szCs w:val="28"/>
      <w:lang w:eastAsia="ru-RU"/>
    </w:rPr>
  </w:style>
  <w:style w:type="character" w:customStyle="1" w:styleId="500">
    <w:name w:val="Название Знак1"/>
    <w:qFormat/>
    <w:uiPriority w:val="0"/>
    <w:rPr>
      <w:rFonts w:ascii="Cambria" w:hAnsi="Cambria" w:eastAsia="Times New Roman" w:cs="Times New Roman"/>
      <w:b/>
      <w:bCs/>
      <w:kern w:val="28"/>
      <w:sz w:val="32"/>
      <w:szCs w:val="32"/>
    </w:rPr>
  </w:style>
  <w:style w:type="character" w:customStyle="1" w:styleId="501">
    <w:name w:val="Без интервала Знак"/>
    <w:link w:val="251"/>
    <w:qFormat/>
    <w:locked/>
    <w:uiPriority w:val="99"/>
    <w:rPr>
      <w:rFonts w:ascii="Calibri" w:hAnsi="Calibri" w:eastAsia="Times New Roman"/>
      <w:sz w:val="22"/>
      <w:szCs w:val="22"/>
    </w:rPr>
  </w:style>
  <w:style w:type="paragraph" w:customStyle="1" w:styleId="502">
    <w:name w:val="ConsNonformat"/>
    <w:qFormat/>
    <w:uiPriority w:val="0"/>
    <w:pPr>
      <w:widowControl w:val="0"/>
      <w:autoSpaceDE w:val="0"/>
      <w:autoSpaceDN w:val="0"/>
      <w:adjustRightInd w:val="0"/>
      <w:spacing w:after="160" w:line="259" w:lineRule="auto"/>
      <w:ind w:right="19772"/>
    </w:pPr>
    <w:rPr>
      <w:rFonts w:ascii="Courier New" w:hAnsi="Courier New" w:eastAsia="Times New Roman" w:cs="Courier New"/>
      <w:lang w:val="ru-RU" w:eastAsia="ru-RU" w:bidi="ar-SA"/>
    </w:rPr>
  </w:style>
  <w:style w:type="paragraph" w:customStyle="1" w:styleId="503">
    <w:name w:val="Основной текст1"/>
    <w:basedOn w:val="1"/>
    <w:qFormat/>
    <w:uiPriority w:val="99"/>
    <w:pPr>
      <w:spacing w:before="60" w:after="60" w:line="240" w:lineRule="auto"/>
      <w:jc w:val="both"/>
    </w:pPr>
    <w:rPr>
      <w:rFonts w:ascii="Arial" w:hAnsi="Arial" w:eastAsia="Times New Roman" w:cs="Arial"/>
      <w:b/>
      <w:bCs/>
      <w:i/>
      <w:iCs/>
      <w:kern w:val="0"/>
      <w:lang w:val="en-US" w:eastAsia="ru-RU"/>
    </w:rPr>
  </w:style>
  <w:style w:type="paragraph" w:customStyle="1" w:styleId="504">
    <w:name w:val="???????"/>
    <w:qFormat/>
    <w:uiPriority w:val="0"/>
    <w:pPr>
      <w:widowControl w:val="0"/>
      <w:autoSpaceDE w:val="0"/>
      <w:autoSpaceDN w:val="0"/>
      <w:adjustRightInd w:val="0"/>
      <w:spacing w:after="160" w:line="259" w:lineRule="auto"/>
    </w:pPr>
    <w:rPr>
      <w:rFonts w:ascii="Times New Roman" w:hAnsi="Times New Roman" w:eastAsia="Calibri" w:cs="Times New Roman"/>
      <w:sz w:val="24"/>
      <w:szCs w:val="24"/>
      <w:lang w:val="ru-RU" w:eastAsia="ru-RU" w:bidi="ar-SA"/>
    </w:rPr>
  </w:style>
  <w:style w:type="paragraph" w:customStyle="1" w:styleId="505">
    <w:name w:val="Цитата1"/>
    <w:basedOn w:val="1"/>
    <w:qFormat/>
    <w:uiPriority w:val="0"/>
    <w:pPr>
      <w:suppressAutoHyphens/>
      <w:spacing w:after="0" w:line="360" w:lineRule="auto"/>
      <w:ind w:left="284" w:right="-1" w:firstLine="567"/>
      <w:jc w:val="both"/>
    </w:pPr>
    <w:rPr>
      <w:rFonts w:ascii="Cambria" w:hAnsi="Cambria" w:eastAsia="Times New Roman"/>
      <w:kern w:val="0"/>
      <w:szCs w:val="22"/>
      <w:lang w:eastAsia="ar-SA" w:bidi="en-US"/>
    </w:rPr>
  </w:style>
  <w:style w:type="paragraph" w:customStyle="1" w:styleId="506">
    <w:name w:val="Подзаголовок_1"/>
    <w:basedOn w:val="10"/>
    <w:link w:val="507"/>
    <w:qFormat/>
    <w:uiPriority w:val="0"/>
    <w:pPr>
      <w:spacing w:before="0" w:after="120" w:line="360" w:lineRule="auto"/>
      <w:ind w:firstLine="0"/>
      <w:jc w:val="center"/>
    </w:pPr>
    <w:rPr>
      <w:rFonts w:ascii="Cambria" w:hAnsi="Cambria" w:cs="Times New Roman"/>
      <w:b/>
      <w:i/>
      <w:iCs/>
      <w:caps/>
      <w:spacing w:val="10"/>
      <w:sz w:val="26"/>
      <w:szCs w:val="26"/>
      <w:lang w:eastAsia="en-US"/>
    </w:rPr>
  </w:style>
  <w:style w:type="character" w:customStyle="1" w:styleId="507">
    <w:name w:val="Подзаголовок_1 Знак"/>
    <w:link w:val="506"/>
    <w:qFormat/>
    <w:uiPriority w:val="0"/>
    <w:rPr>
      <w:rFonts w:ascii="Cambria" w:hAnsi="Cambria" w:eastAsia="Times New Roman"/>
      <w:b/>
      <w:i/>
      <w:iCs/>
      <w:caps/>
      <w:spacing w:val="10"/>
      <w:sz w:val="26"/>
      <w:szCs w:val="26"/>
      <w:lang w:eastAsia="en-US"/>
    </w:rPr>
  </w:style>
  <w:style w:type="paragraph" w:customStyle="1" w:styleId="508">
    <w:name w:val="Красная строка1"/>
    <w:basedOn w:val="56"/>
    <w:qFormat/>
    <w:uiPriority w:val="0"/>
    <w:pPr>
      <w:widowControl/>
      <w:spacing w:after="120"/>
      <w:ind w:firstLine="210"/>
      <w:jc w:val="left"/>
    </w:pPr>
    <w:rPr>
      <w:b w:val="0"/>
      <w:snapToGrid/>
      <w:sz w:val="20"/>
      <w:lang w:eastAsia="ar-SA"/>
    </w:rPr>
  </w:style>
  <w:style w:type="paragraph" w:customStyle="1" w:styleId="509">
    <w:name w:val="????????? 8"/>
    <w:basedOn w:val="504"/>
    <w:next w:val="1"/>
    <w:qFormat/>
    <w:uiPriority w:val="99"/>
    <w:pPr>
      <w:widowControl/>
      <w:spacing w:before="240" w:after="60"/>
      <w:outlineLvl w:val="7"/>
    </w:pPr>
    <w:rPr>
      <w:i/>
      <w:iCs/>
    </w:rPr>
  </w:style>
  <w:style w:type="character" w:customStyle="1" w:styleId="510">
    <w:name w:val="WW8Num2z0"/>
    <w:qFormat/>
    <w:uiPriority w:val="0"/>
    <w:rPr>
      <w:rFonts w:ascii="Symbol" w:hAnsi="Symbol"/>
    </w:rPr>
  </w:style>
  <w:style w:type="character" w:customStyle="1" w:styleId="511">
    <w:name w:val="WW8Num3z0"/>
    <w:qFormat/>
    <w:uiPriority w:val="0"/>
    <w:rPr>
      <w:rFonts w:ascii="Symbol" w:hAnsi="Symbol"/>
    </w:rPr>
  </w:style>
  <w:style w:type="character" w:customStyle="1" w:styleId="512">
    <w:name w:val="WW8Num4z0"/>
    <w:qFormat/>
    <w:uiPriority w:val="0"/>
    <w:rPr>
      <w:rFonts w:ascii="Symbol" w:hAnsi="Symbol"/>
    </w:rPr>
  </w:style>
  <w:style w:type="character" w:customStyle="1" w:styleId="513">
    <w:name w:val="WW8Num5z0"/>
    <w:qFormat/>
    <w:uiPriority w:val="0"/>
    <w:rPr>
      <w:rFonts w:ascii="Symbol" w:hAnsi="Symbol"/>
    </w:rPr>
  </w:style>
  <w:style w:type="character" w:customStyle="1" w:styleId="514">
    <w:name w:val="WW8Num6z0"/>
    <w:qFormat/>
    <w:uiPriority w:val="0"/>
    <w:rPr>
      <w:rFonts w:ascii="Symbol" w:hAnsi="Symbol"/>
    </w:rPr>
  </w:style>
  <w:style w:type="character" w:customStyle="1" w:styleId="515">
    <w:name w:val="WW8Num7z0"/>
    <w:qFormat/>
    <w:uiPriority w:val="0"/>
    <w:rPr>
      <w:rFonts w:ascii="Symbol" w:hAnsi="Symbol"/>
    </w:rPr>
  </w:style>
  <w:style w:type="character" w:customStyle="1" w:styleId="516">
    <w:name w:val="WW8Num8z0"/>
    <w:qFormat/>
    <w:uiPriority w:val="0"/>
    <w:rPr>
      <w:rFonts w:ascii="Symbol" w:hAnsi="Symbol"/>
    </w:rPr>
  </w:style>
  <w:style w:type="character" w:customStyle="1" w:styleId="517">
    <w:name w:val="WW8Num9z0"/>
    <w:qFormat/>
    <w:uiPriority w:val="0"/>
    <w:rPr>
      <w:rFonts w:ascii="Symbol" w:hAnsi="Symbol"/>
    </w:rPr>
  </w:style>
  <w:style w:type="character" w:customStyle="1" w:styleId="518">
    <w:name w:val="WW8Num10z0"/>
    <w:qFormat/>
    <w:uiPriority w:val="0"/>
    <w:rPr>
      <w:rFonts w:ascii="Times New Roman" w:hAnsi="Times New Roman" w:eastAsia="Times New Roman" w:cs="Times New Roman"/>
    </w:rPr>
  </w:style>
  <w:style w:type="character" w:customStyle="1" w:styleId="519">
    <w:name w:val="Absatz-Standardschriftart"/>
    <w:qFormat/>
    <w:uiPriority w:val="0"/>
  </w:style>
  <w:style w:type="character" w:customStyle="1" w:styleId="520">
    <w:name w:val="WW-Absatz-Standardschriftart"/>
    <w:qFormat/>
    <w:uiPriority w:val="0"/>
  </w:style>
  <w:style w:type="character" w:customStyle="1" w:styleId="521">
    <w:name w:val="WW-Absatz-Standardschriftart1"/>
    <w:qFormat/>
    <w:uiPriority w:val="0"/>
  </w:style>
  <w:style w:type="character" w:customStyle="1" w:styleId="522">
    <w:name w:val="WW-Absatz-Standardschriftart11"/>
    <w:qFormat/>
    <w:uiPriority w:val="0"/>
  </w:style>
  <w:style w:type="character" w:customStyle="1" w:styleId="523">
    <w:name w:val="WW-Absatz-Standardschriftart111"/>
    <w:qFormat/>
    <w:uiPriority w:val="0"/>
  </w:style>
  <w:style w:type="character" w:customStyle="1" w:styleId="524">
    <w:name w:val="WW-Absatz-Standardschriftart1111"/>
    <w:qFormat/>
    <w:uiPriority w:val="0"/>
  </w:style>
  <w:style w:type="character" w:customStyle="1" w:styleId="525">
    <w:name w:val="WW-Absatz-Standardschriftart11111"/>
    <w:qFormat/>
    <w:uiPriority w:val="0"/>
  </w:style>
  <w:style w:type="character" w:customStyle="1" w:styleId="526">
    <w:name w:val="WW8Num1z0"/>
    <w:qFormat/>
    <w:uiPriority w:val="0"/>
    <w:rPr>
      <w:rFonts w:ascii="Symbol" w:hAnsi="Symbol"/>
    </w:rPr>
  </w:style>
  <w:style w:type="character" w:customStyle="1" w:styleId="527">
    <w:name w:val="WW8Num2z1"/>
    <w:qFormat/>
    <w:uiPriority w:val="0"/>
    <w:rPr>
      <w:rFonts w:ascii="Courier New" w:hAnsi="Courier New" w:cs="Courier New"/>
    </w:rPr>
  </w:style>
  <w:style w:type="character" w:customStyle="1" w:styleId="528">
    <w:name w:val="WW8Num2z2"/>
    <w:qFormat/>
    <w:uiPriority w:val="0"/>
    <w:rPr>
      <w:rFonts w:ascii="Wingdings" w:hAnsi="Wingdings"/>
    </w:rPr>
  </w:style>
  <w:style w:type="character" w:customStyle="1" w:styleId="529">
    <w:name w:val="WW8Num3z1"/>
    <w:qFormat/>
    <w:uiPriority w:val="0"/>
    <w:rPr>
      <w:rFonts w:ascii="Courier New" w:hAnsi="Courier New" w:cs="Courier New"/>
    </w:rPr>
  </w:style>
  <w:style w:type="character" w:customStyle="1" w:styleId="530">
    <w:name w:val="WW8Num3z2"/>
    <w:qFormat/>
    <w:uiPriority w:val="0"/>
    <w:rPr>
      <w:rFonts w:ascii="Wingdings" w:hAnsi="Wingdings"/>
    </w:rPr>
  </w:style>
  <w:style w:type="character" w:customStyle="1" w:styleId="531">
    <w:name w:val="WW8Num6z1"/>
    <w:qFormat/>
    <w:uiPriority w:val="0"/>
    <w:rPr>
      <w:rFonts w:ascii="Courier New" w:hAnsi="Courier New" w:cs="Courier New"/>
    </w:rPr>
  </w:style>
  <w:style w:type="character" w:customStyle="1" w:styleId="532">
    <w:name w:val="WW8Num6z2"/>
    <w:qFormat/>
    <w:uiPriority w:val="0"/>
    <w:rPr>
      <w:rFonts w:ascii="Wingdings" w:hAnsi="Wingdings"/>
    </w:rPr>
  </w:style>
  <w:style w:type="character" w:customStyle="1" w:styleId="533">
    <w:name w:val="WW8Num8z1"/>
    <w:qFormat/>
    <w:uiPriority w:val="0"/>
    <w:rPr>
      <w:rFonts w:ascii="Courier New" w:hAnsi="Courier New" w:cs="Courier New"/>
    </w:rPr>
  </w:style>
  <w:style w:type="character" w:customStyle="1" w:styleId="534">
    <w:name w:val="WW8Num8z2"/>
    <w:qFormat/>
    <w:uiPriority w:val="0"/>
    <w:rPr>
      <w:rFonts w:ascii="Wingdings" w:hAnsi="Wingdings"/>
    </w:rPr>
  </w:style>
  <w:style w:type="character" w:customStyle="1" w:styleId="535">
    <w:name w:val="WW8Num10z1"/>
    <w:qFormat/>
    <w:uiPriority w:val="0"/>
    <w:rPr>
      <w:rFonts w:ascii="Courier New" w:hAnsi="Courier New"/>
    </w:rPr>
  </w:style>
  <w:style w:type="character" w:customStyle="1" w:styleId="536">
    <w:name w:val="WW8Num10z2"/>
    <w:qFormat/>
    <w:uiPriority w:val="0"/>
    <w:rPr>
      <w:rFonts w:ascii="Wingdings" w:hAnsi="Wingdings"/>
    </w:rPr>
  </w:style>
  <w:style w:type="character" w:customStyle="1" w:styleId="537">
    <w:name w:val="WW8Num10z3"/>
    <w:qFormat/>
    <w:uiPriority w:val="0"/>
    <w:rPr>
      <w:rFonts w:ascii="Symbol" w:hAnsi="Symbol"/>
    </w:rPr>
  </w:style>
  <w:style w:type="character" w:customStyle="1" w:styleId="538">
    <w:name w:val="WW8Num11z0"/>
    <w:qFormat/>
    <w:uiPriority w:val="0"/>
    <w:rPr>
      <w:rFonts w:ascii="Symbol" w:hAnsi="Symbol"/>
    </w:rPr>
  </w:style>
  <w:style w:type="character" w:customStyle="1" w:styleId="539">
    <w:name w:val="WW8Num11z1"/>
    <w:qFormat/>
    <w:uiPriority w:val="0"/>
    <w:rPr>
      <w:rFonts w:ascii="Courier New" w:hAnsi="Courier New" w:cs="Courier New"/>
    </w:rPr>
  </w:style>
  <w:style w:type="character" w:customStyle="1" w:styleId="540">
    <w:name w:val="WW8Num11z2"/>
    <w:qFormat/>
    <w:uiPriority w:val="0"/>
    <w:rPr>
      <w:rFonts w:ascii="Wingdings" w:hAnsi="Wingdings"/>
    </w:rPr>
  </w:style>
  <w:style w:type="character" w:customStyle="1" w:styleId="541">
    <w:name w:val="WW8Num12z0"/>
    <w:qFormat/>
    <w:uiPriority w:val="0"/>
    <w:rPr>
      <w:rFonts w:ascii="Symbol" w:hAnsi="Symbol"/>
    </w:rPr>
  </w:style>
  <w:style w:type="character" w:customStyle="1" w:styleId="542">
    <w:name w:val="WW8Num12z1"/>
    <w:qFormat/>
    <w:uiPriority w:val="0"/>
    <w:rPr>
      <w:rFonts w:ascii="Courier New" w:hAnsi="Courier New" w:cs="Courier New"/>
    </w:rPr>
  </w:style>
  <w:style w:type="character" w:customStyle="1" w:styleId="543">
    <w:name w:val="WW8Num12z2"/>
    <w:qFormat/>
    <w:uiPriority w:val="0"/>
    <w:rPr>
      <w:rFonts w:ascii="Wingdings" w:hAnsi="Wingdings"/>
    </w:rPr>
  </w:style>
  <w:style w:type="character" w:customStyle="1" w:styleId="544">
    <w:name w:val="WW8Num13z0"/>
    <w:qFormat/>
    <w:uiPriority w:val="0"/>
    <w:rPr>
      <w:rFonts w:ascii="Symbol" w:hAnsi="Symbol"/>
    </w:rPr>
  </w:style>
  <w:style w:type="character" w:customStyle="1" w:styleId="545">
    <w:name w:val="WW8Num13z1"/>
    <w:qFormat/>
    <w:uiPriority w:val="0"/>
    <w:rPr>
      <w:rFonts w:ascii="Courier New" w:hAnsi="Courier New" w:cs="Courier New"/>
    </w:rPr>
  </w:style>
  <w:style w:type="character" w:customStyle="1" w:styleId="546">
    <w:name w:val="WW8Num13z2"/>
    <w:qFormat/>
    <w:uiPriority w:val="0"/>
    <w:rPr>
      <w:rFonts w:ascii="Wingdings" w:hAnsi="Wingdings"/>
    </w:rPr>
  </w:style>
  <w:style w:type="character" w:customStyle="1" w:styleId="547">
    <w:name w:val="WW8Num15z0"/>
    <w:uiPriority w:val="0"/>
    <w:rPr>
      <w:rFonts w:ascii="Symbol" w:hAnsi="Symbol"/>
    </w:rPr>
  </w:style>
  <w:style w:type="character" w:customStyle="1" w:styleId="548">
    <w:name w:val="WW8Num15z1"/>
    <w:uiPriority w:val="0"/>
    <w:rPr>
      <w:rFonts w:ascii="Courier New" w:hAnsi="Courier New" w:cs="Courier New"/>
    </w:rPr>
  </w:style>
  <w:style w:type="character" w:customStyle="1" w:styleId="549">
    <w:name w:val="WW8Num15z2"/>
    <w:uiPriority w:val="0"/>
    <w:rPr>
      <w:rFonts w:ascii="Wingdings" w:hAnsi="Wingdings"/>
    </w:rPr>
  </w:style>
  <w:style w:type="character" w:customStyle="1" w:styleId="550">
    <w:name w:val="WW8Num16z0"/>
    <w:uiPriority w:val="0"/>
    <w:rPr>
      <w:rFonts w:ascii="Symbol" w:hAnsi="Symbol"/>
    </w:rPr>
  </w:style>
  <w:style w:type="character" w:customStyle="1" w:styleId="551">
    <w:name w:val="WW8Num16z1"/>
    <w:uiPriority w:val="0"/>
    <w:rPr>
      <w:rFonts w:ascii="Courier New" w:hAnsi="Courier New" w:cs="Courier New"/>
    </w:rPr>
  </w:style>
  <w:style w:type="character" w:customStyle="1" w:styleId="552">
    <w:name w:val="WW8Num16z2"/>
    <w:uiPriority w:val="0"/>
    <w:rPr>
      <w:rFonts w:ascii="Wingdings" w:hAnsi="Wingdings"/>
    </w:rPr>
  </w:style>
  <w:style w:type="character" w:customStyle="1" w:styleId="553">
    <w:name w:val="WW8Num18z0"/>
    <w:uiPriority w:val="0"/>
    <w:rPr>
      <w:rFonts w:ascii="Symbol" w:hAnsi="Symbol"/>
    </w:rPr>
  </w:style>
  <w:style w:type="character" w:customStyle="1" w:styleId="554">
    <w:name w:val="WW8Num18z1"/>
    <w:uiPriority w:val="0"/>
    <w:rPr>
      <w:rFonts w:ascii="Courier New" w:hAnsi="Courier New" w:cs="Courier New"/>
    </w:rPr>
  </w:style>
  <w:style w:type="character" w:customStyle="1" w:styleId="555">
    <w:name w:val="WW8Num18z2"/>
    <w:uiPriority w:val="0"/>
    <w:rPr>
      <w:rFonts w:ascii="Wingdings" w:hAnsi="Wingdings"/>
    </w:rPr>
  </w:style>
  <w:style w:type="character" w:customStyle="1" w:styleId="556">
    <w:name w:val="WW8Num20z0"/>
    <w:uiPriority w:val="0"/>
    <w:rPr>
      <w:rFonts w:ascii="Symbol" w:hAnsi="Symbol"/>
    </w:rPr>
  </w:style>
  <w:style w:type="character" w:customStyle="1" w:styleId="557">
    <w:name w:val="WW8Num20z1"/>
    <w:uiPriority w:val="0"/>
    <w:rPr>
      <w:rFonts w:ascii="Courier New" w:hAnsi="Courier New" w:cs="Courier New"/>
    </w:rPr>
  </w:style>
  <w:style w:type="character" w:customStyle="1" w:styleId="558">
    <w:name w:val="WW8Num20z2"/>
    <w:uiPriority w:val="0"/>
    <w:rPr>
      <w:rFonts w:ascii="Wingdings" w:hAnsi="Wingdings"/>
    </w:rPr>
  </w:style>
  <w:style w:type="character" w:customStyle="1" w:styleId="559">
    <w:name w:val="WW8Num21z0"/>
    <w:uiPriority w:val="0"/>
    <w:rPr>
      <w:rFonts w:ascii="Symbol" w:hAnsi="Symbol"/>
    </w:rPr>
  </w:style>
  <w:style w:type="character" w:customStyle="1" w:styleId="560">
    <w:name w:val="WW8Num21z1"/>
    <w:uiPriority w:val="0"/>
    <w:rPr>
      <w:rFonts w:ascii="Courier New" w:hAnsi="Courier New" w:cs="Courier New"/>
    </w:rPr>
  </w:style>
  <w:style w:type="character" w:customStyle="1" w:styleId="561">
    <w:name w:val="WW8Num21z2"/>
    <w:uiPriority w:val="0"/>
    <w:rPr>
      <w:rFonts w:ascii="Wingdings" w:hAnsi="Wingdings"/>
    </w:rPr>
  </w:style>
  <w:style w:type="character" w:customStyle="1" w:styleId="562">
    <w:name w:val="WW8Num22z0"/>
    <w:uiPriority w:val="0"/>
    <w:rPr>
      <w:rFonts w:ascii="Symbol" w:hAnsi="Symbol"/>
    </w:rPr>
  </w:style>
  <w:style w:type="character" w:customStyle="1" w:styleId="563">
    <w:name w:val="WW8Num22z1"/>
    <w:uiPriority w:val="0"/>
    <w:rPr>
      <w:rFonts w:ascii="Courier New" w:hAnsi="Courier New" w:cs="Courier New"/>
    </w:rPr>
  </w:style>
  <w:style w:type="character" w:customStyle="1" w:styleId="564">
    <w:name w:val="WW8Num22z2"/>
    <w:uiPriority w:val="0"/>
    <w:rPr>
      <w:rFonts w:ascii="Wingdings" w:hAnsi="Wingdings"/>
    </w:rPr>
  </w:style>
  <w:style w:type="character" w:customStyle="1" w:styleId="565">
    <w:name w:val="WW8Num25z0"/>
    <w:uiPriority w:val="0"/>
    <w:rPr>
      <w:rFonts w:ascii="Times New Roman" w:hAnsi="Times New Roman" w:eastAsia="Times New Roman" w:cs="Times New Roman"/>
    </w:rPr>
  </w:style>
  <w:style w:type="character" w:customStyle="1" w:styleId="566">
    <w:name w:val="WW8Num28z0"/>
    <w:uiPriority w:val="0"/>
    <w:rPr>
      <w:rFonts w:ascii="Symbol" w:hAnsi="Symbol"/>
    </w:rPr>
  </w:style>
  <w:style w:type="character" w:customStyle="1" w:styleId="567">
    <w:name w:val="WW8Num28z1"/>
    <w:uiPriority w:val="0"/>
    <w:rPr>
      <w:rFonts w:ascii="Courier New" w:hAnsi="Courier New" w:cs="Courier New"/>
    </w:rPr>
  </w:style>
  <w:style w:type="character" w:customStyle="1" w:styleId="568">
    <w:name w:val="WW8Num28z2"/>
    <w:uiPriority w:val="0"/>
    <w:rPr>
      <w:rFonts w:ascii="Wingdings" w:hAnsi="Wingdings"/>
    </w:rPr>
  </w:style>
  <w:style w:type="character" w:customStyle="1" w:styleId="569">
    <w:name w:val="WW8Num29z0"/>
    <w:uiPriority w:val="0"/>
    <w:rPr>
      <w:rFonts w:ascii="Symbol" w:hAnsi="Symbol"/>
    </w:rPr>
  </w:style>
  <w:style w:type="character" w:customStyle="1" w:styleId="570">
    <w:name w:val="WW8Num29z1"/>
    <w:uiPriority w:val="0"/>
    <w:rPr>
      <w:rFonts w:ascii="Courier New" w:hAnsi="Courier New" w:cs="Courier New"/>
    </w:rPr>
  </w:style>
  <w:style w:type="character" w:customStyle="1" w:styleId="571">
    <w:name w:val="WW8Num29z2"/>
    <w:uiPriority w:val="0"/>
    <w:rPr>
      <w:rFonts w:ascii="Wingdings" w:hAnsi="Wingdings"/>
    </w:rPr>
  </w:style>
  <w:style w:type="character" w:customStyle="1" w:styleId="572">
    <w:name w:val="WW8Num32z2"/>
    <w:uiPriority w:val="0"/>
    <w:rPr>
      <w:b/>
    </w:rPr>
  </w:style>
  <w:style w:type="character" w:customStyle="1" w:styleId="573">
    <w:name w:val="WW8Num33z0"/>
    <w:uiPriority w:val="0"/>
    <w:rPr>
      <w:rFonts w:ascii="Symbol" w:hAnsi="Symbol"/>
    </w:rPr>
  </w:style>
  <w:style w:type="character" w:customStyle="1" w:styleId="574">
    <w:name w:val="WW8Num33z1"/>
    <w:uiPriority w:val="0"/>
    <w:rPr>
      <w:rFonts w:ascii="Courier New" w:hAnsi="Courier New" w:cs="Courier New"/>
    </w:rPr>
  </w:style>
  <w:style w:type="character" w:customStyle="1" w:styleId="575">
    <w:name w:val="WW8Num33z2"/>
    <w:uiPriority w:val="0"/>
    <w:rPr>
      <w:rFonts w:ascii="Wingdings" w:hAnsi="Wingdings"/>
    </w:rPr>
  </w:style>
  <w:style w:type="character" w:customStyle="1" w:styleId="576">
    <w:name w:val="WW8Num34z0"/>
    <w:uiPriority w:val="0"/>
    <w:rPr>
      <w:rFonts w:ascii="Symbol" w:hAnsi="Symbol"/>
    </w:rPr>
  </w:style>
  <w:style w:type="character" w:customStyle="1" w:styleId="577">
    <w:name w:val="WW8Num34z1"/>
    <w:uiPriority w:val="0"/>
    <w:rPr>
      <w:rFonts w:ascii="Courier New" w:hAnsi="Courier New" w:cs="Courier New"/>
    </w:rPr>
  </w:style>
  <w:style w:type="character" w:customStyle="1" w:styleId="578">
    <w:name w:val="WW8Num34z2"/>
    <w:uiPriority w:val="0"/>
    <w:rPr>
      <w:rFonts w:ascii="Wingdings" w:hAnsi="Wingdings"/>
    </w:rPr>
  </w:style>
  <w:style w:type="character" w:customStyle="1" w:styleId="579">
    <w:name w:val="WW8Num36z0"/>
    <w:uiPriority w:val="0"/>
    <w:rPr>
      <w:rFonts w:ascii="Symbol" w:hAnsi="Symbol"/>
    </w:rPr>
  </w:style>
  <w:style w:type="character" w:customStyle="1" w:styleId="580">
    <w:name w:val="WW8Num36z1"/>
    <w:uiPriority w:val="0"/>
    <w:rPr>
      <w:rFonts w:ascii="Courier New" w:hAnsi="Courier New" w:cs="Courier New"/>
    </w:rPr>
  </w:style>
  <w:style w:type="character" w:customStyle="1" w:styleId="581">
    <w:name w:val="WW8Num36z2"/>
    <w:uiPriority w:val="0"/>
    <w:rPr>
      <w:rFonts w:ascii="Wingdings" w:hAnsi="Wingdings"/>
    </w:rPr>
  </w:style>
  <w:style w:type="character" w:customStyle="1" w:styleId="582">
    <w:name w:val="Основной шрифт абзаца1"/>
    <w:uiPriority w:val="0"/>
  </w:style>
  <w:style w:type="character" w:customStyle="1" w:styleId="583">
    <w:name w:val="Маркеры списка"/>
    <w:uiPriority w:val="0"/>
    <w:rPr>
      <w:rFonts w:ascii="StarSymbol" w:hAnsi="StarSymbol" w:eastAsia="StarSymbol" w:cs="StarSymbol"/>
      <w:sz w:val="18"/>
      <w:szCs w:val="18"/>
    </w:rPr>
  </w:style>
  <w:style w:type="paragraph" w:customStyle="1" w:styleId="584">
    <w:name w:val="Заголовок1"/>
    <w:basedOn w:val="1"/>
    <w:next w:val="56"/>
    <w:uiPriority w:val="0"/>
    <w:pPr>
      <w:keepNext/>
      <w:spacing w:before="240" w:after="120" w:line="240" w:lineRule="auto"/>
    </w:pPr>
    <w:rPr>
      <w:rFonts w:ascii="Arial" w:hAnsi="Arial" w:eastAsia="Lucida Sans Unicode" w:cs="Tahoma"/>
      <w:kern w:val="0"/>
      <w:sz w:val="28"/>
      <w:szCs w:val="28"/>
      <w:lang w:eastAsia="ar-SA"/>
    </w:rPr>
  </w:style>
  <w:style w:type="paragraph" w:customStyle="1" w:styleId="585">
    <w:name w:val="Название1"/>
    <w:basedOn w:val="1"/>
    <w:uiPriority w:val="0"/>
    <w:pPr>
      <w:suppressLineNumbers/>
      <w:spacing w:before="120" w:after="120" w:line="240" w:lineRule="auto"/>
    </w:pPr>
    <w:rPr>
      <w:rFonts w:ascii="Arial" w:hAnsi="Arial" w:eastAsia="Times New Roman" w:cs="Tahoma"/>
      <w:i/>
      <w:iCs/>
      <w:kern w:val="0"/>
      <w:lang w:eastAsia="ar-SA"/>
    </w:rPr>
  </w:style>
  <w:style w:type="paragraph" w:customStyle="1" w:styleId="586">
    <w:name w:val="Указатель1"/>
    <w:basedOn w:val="1"/>
    <w:uiPriority w:val="0"/>
    <w:pPr>
      <w:suppressLineNumbers/>
      <w:spacing w:after="0" w:line="240" w:lineRule="auto"/>
    </w:pPr>
    <w:rPr>
      <w:rFonts w:ascii="Arial" w:hAnsi="Arial" w:eastAsia="Times New Roman" w:cs="Tahoma"/>
      <w:kern w:val="0"/>
      <w:sz w:val="20"/>
      <w:szCs w:val="20"/>
      <w:lang w:eastAsia="ar-SA"/>
    </w:rPr>
  </w:style>
  <w:style w:type="paragraph" w:customStyle="1" w:styleId="587">
    <w:name w:val="Список 21"/>
    <w:basedOn w:val="1"/>
    <w:uiPriority w:val="0"/>
    <w:pPr>
      <w:spacing w:after="0" w:line="240" w:lineRule="auto"/>
      <w:ind w:left="566" w:hanging="283"/>
    </w:pPr>
    <w:rPr>
      <w:rFonts w:eastAsia="Times New Roman"/>
      <w:kern w:val="0"/>
      <w:sz w:val="20"/>
      <w:szCs w:val="20"/>
      <w:lang w:eastAsia="ar-SA"/>
    </w:rPr>
  </w:style>
  <w:style w:type="paragraph" w:customStyle="1" w:styleId="588">
    <w:name w:val="Заголовок таблицы"/>
    <w:basedOn w:val="350"/>
    <w:uiPriority w:val="0"/>
    <w:pPr>
      <w:widowControl/>
      <w:suppressAutoHyphens w:val="0"/>
      <w:jc w:val="center"/>
    </w:pPr>
    <w:rPr>
      <w:rFonts w:eastAsia="Times New Roman"/>
      <w:b/>
      <w:bCs/>
      <w:i/>
      <w:iCs/>
      <w:kern w:val="0"/>
      <w:sz w:val="20"/>
      <w:szCs w:val="20"/>
      <w:lang w:eastAsia="ar-SA"/>
    </w:rPr>
  </w:style>
  <w:style w:type="paragraph" w:customStyle="1" w:styleId="589">
    <w:name w:val="Содержимое врезки"/>
    <w:basedOn w:val="56"/>
    <w:uiPriority w:val="0"/>
    <w:pPr>
      <w:widowControl/>
      <w:spacing w:after="120"/>
      <w:jc w:val="left"/>
    </w:pPr>
    <w:rPr>
      <w:b w:val="0"/>
      <w:snapToGrid/>
      <w:sz w:val="20"/>
      <w:lang w:eastAsia="ar-SA"/>
    </w:rPr>
  </w:style>
  <w:style w:type="character" w:customStyle="1" w:styleId="590">
    <w:name w:val="Красная строка 2 Знак"/>
    <w:basedOn w:val="170"/>
    <w:link w:val="71"/>
    <w:uiPriority w:val="0"/>
    <w:rPr>
      <w:rFonts w:eastAsia="Times New Roman"/>
    </w:rPr>
  </w:style>
  <w:style w:type="paragraph" w:customStyle="1" w:styleId="591">
    <w:name w:val="S_Маркированный"/>
    <w:basedOn w:val="69"/>
    <w:link w:val="592"/>
    <w:qFormat/>
    <w:uiPriority w:val="0"/>
    <w:pPr>
      <w:widowControl/>
      <w:tabs>
        <w:tab w:val="left" w:pos="1260"/>
        <w:tab w:val="left" w:pos="1361"/>
      </w:tabs>
      <w:autoSpaceDE/>
      <w:autoSpaceDN/>
      <w:adjustRightInd/>
      <w:spacing w:before="0" w:line="360" w:lineRule="auto"/>
      <w:ind w:left="0" w:firstLine="1021"/>
    </w:pPr>
    <w:rPr>
      <w:rFonts w:eastAsia="Times New Roman"/>
      <w:sz w:val="24"/>
      <w:szCs w:val="24"/>
      <w:lang w:eastAsia="ru-RU"/>
    </w:rPr>
  </w:style>
  <w:style w:type="character" w:customStyle="1" w:styleId="592">
    <w:name w:val="S_Маркированный Знак Знак"/>
    <w:basedOn w:val="11"/>
    <w:link w:val="591"/>
    <w:uiPriority w:val="0"/>
    <w:rPr>
      <w:rFonts w:ascii="Times New Roman" w:hAnsi="Times New Roman" w:eastAsia="Times New Roman" w:cs="Times New Roman"/>
      <w:sz w:val="24"/>
      <w:szCs w:val="24"/>
    </w:rPr>
  </w:style>
  <w:style w:type="paragraph" w:customStyle="1" w:styleId="593">
    <w:name w:val="S_Нумерованный_3.1"/>
    <w:basedOn w:val="1"/>
    <w:link w:val="594"/>
    <w:uiPriority w:val="0"/>
    <w:pPr>
      <w:spacing w:after="0" w:line="240" w:lineRule="auto"/>
      <w:ind w:firstLine="624"/>
      <w:jc w:val="both"/>
    </w:pPr>
    <w:rPr>
      <w:rFonts w:eastAsia="Times New Roman"/>
      <w:kern w:val="0"/>
      <w:sz w:val="28"/>
      <w:szCs w:val="28"/>
      <w:lang w:eastAsia="ru-RU"/>
    </w:rPr>
  </w:style>
  <w:style w:type="character" w:customStyle="1" w:styleId="594">
    <w:name w:val="S_Нумерованный_3.1 Знак Знак"/>
    <w:basedOn w:val="11"/>
    <w:link w:val="593"/>
    <w:uiPriority w:val="0"/>
    <w:rPr>
      <w:rFonts w:eastAsia="Times New Roman"/>
      <w:sz w:val="28"/>
      <w:szCs w:val="28"/>
    </w:rPr>
  </w:style>
  <w:style w:type="paragraph" w:customStyle="1" w:styleId="595">
    <w:name w:val="Название объекта1"/>
    <w:basedOn w:val="1"/>
    <w:next w:val="1"/>
    <w:uiPriority w:val="0"/>
    <w:pPr>
      <w:suppressAutoHyphens/>
      <w:spacing w:after="0" w:line="240" w:lineRule="auto"/>
    </w:pPr>
    <w:rPr>
      <w:rFonts w:eastAsia="Times New Roman"/>
      <w:b/>
      <w:bCs/>
      <w:kern w:val="0"/>
      <w:sz w:val="20"/>
      <w:szCs w:val="20"/>
      <w:lang w:eastAsia="ar-SA"/>
    </w:rPr>
  </w:style>
  <w:style w:type="paragraph" w:customStyle="1" w:styleId="596">
    <w:name w:val="Новый абзац"/>
    <w:basedOn w:val="1"/>
    <w:link w:val="597"/>
    <w:qFormat/>
    <w:uiPriority w:val="0"/>
    <w:pPr>
      <w:spacing w:after="120" w:line="240" w:lineRule="auto"/>
      <w:ind w:firstLine="567"/>
      <w:jc w:val="both"/>
    </w:pPr>
    <w:rPr>
      <w:rFonts w:ascii="Arial" w:hAnsi="Arial" w:eastAsia="Times New Roman"/>
      <w:kern w:val="0"/>
      <w:szCs w:val="20"/>
      <w:lang w:eastAsia="ru-RU"/>
    </w:rPr>
  </w:style>
  <w:style w:type="character" w:customStyle="1" w:styleId="597">
    <w:name w:val="Новый абзац Знак2"/>
    <w:basedOn w:val="11"/>
    <w:link w:val="596"/>
    <w:uiPriority w:val="0"/>
    <w:rPr>
      <w:rFonts w:ascii="Arial" w:hAnsi="Arial" w:eastAsia="Times New Roman"/>
      <w:sz w:val="24"/>
    </w:rPr>
  </w:style>
  <w:style w:type="paragraph" w:customStyle="1" w:styleId="598">
    <w:name w:val="Стиль 14 пт По ширине"/>
    <w:basedOn w:val="1"/>
    <w:uiPriority w:val="0"/>
    <w:pPr>
      <w:spacing w:after="0" w:line="240" w:lineRule="auto"/>
      <w:jc w:val="both"/>
    </w:pPr>
    <w:rPr>
      <w:rFonts w:eastAsia="Times New Roman"/>
      <w:kern w:val="0"/>
      <w:sz w:val="28"/>
      <w:szCs w:val="20"/>
      <w:lang w:eastAsia="ru-RU"/>
    </w:rPr>
  </w:style>
  <w:style w:type="paragraph" w:customStyle="1" w:styleId="599">
    <w:name w:val="Обычный5"/>
    <w:uiPriority w:val="0"/>
    <w:pPr>
      <w:widowControl w:val="0"/>
      <w:spacing w:after="160" w:line="259" w:lineRule="auto"/>
    </w:pPr>
    <w:rPr>
      <w:rFonts w:ascii="Arial" w:hAnsi="Arial" w:eastAsia="Times New Roman" w:cs="Times New Roman"/>
      <w:snapToGrid w:val="0"/>
      <w:lang w:val="ru-RU" w:eastAsia="ru-RU" w:bidi="ar-SA"/>
    </w:rPr>
  </w:style>
  <w:style w:type="paragraph" w:customStyle="1" w:styleId="600">
    <w:name w:val="Основной текст 23"/>
    <w:basedOn w:val="1"/>
    <w:uiPriority w:val="0"/>
    <w:pPr>
      <w:spacing w:after="0" w:line="240" w:lineRule="auto"/>
      <w:jc w:val="both"/>
    </w:pPr>
    <w:rPr>
      <w:rFonts w:eastAsia="Times New Roman"/>
      <w:kern w:val="0"/>
      <w:szCs w:val="20"/>
      <w:lang w:eastAsia="ru-RU"/>
    </w:rPr>
  </w:style>
  <w:style w:type="paragraph" w:customStyle="1" w:styleId="601">
    <w:name w:val="Стиль Обычный (веб) + 14 пт По ширине Слева:  0 см Первая строка..."/>
    <w:basedOn w:val="1"/>
    <w:next w:val="40"/>
    <w:uiPriority w:val="0"/>
    <w:pPr>
      <w:spacing w:after="0" w:line="240" w:lineRule="auto"/>
      <w:ind w:firstLine="900"/>
      <w:jc w:val="both"/>
    </w:pPr>
    <w:rPr>
      <w:rFonts w:eastAsia="Times New Roman"/>
      <w:kern w:val="0"/>
      <w:sz w:val="28"/>
      <w:szCs w:val="20"/>
      <w:lang w:eastAsia="ru-RU"/>
    </w:rPr>
  </w:style>
  <w:style w:type="paragraph" w:customStyle="1" w:styleId="602">
    <w:name w:val="Стиль_11"/>
    <w:basedOn w:val="1"/>
    <w:uiPriority w:val="0"/>
    <w:pPr>
      <w:spacing w:after="0" w:line="240" w:lineRule="auto"/>
      <w:ind w:firstLine="720"/>
    </w:pPr>
    <w:rPr>
      <w:rFonts w:ascii="Arial" w:hAnsi="Arial" w:eastAsia="Times New Roman"/>
      <w:kern w:val="0"/>
      <w:szCs w:val="20"/>
      <w:lang w:eastAsia="ru-RU"/>
    </w:rPr>
  </w:style>
  <w:style w:type="paragraph" w:customStyle="1" w:styleId="603">
    <w:name w:val="top"/>
    <w:basedOn w:val="1"/>
    <w:uiPriority w:val="0"/>
    <w:pPr>
      <w:spacing w:before="100" w:beforeAutospacing="1" w:after="100" w:afterAutospacing="1" w:line="240" w:lineRule="auto"/>
      <w:jc w:val="both"/>
    </w:pPr>
    <w:rPr>
      <w:rFonts w:ascii="Arial" w:hAnsi="Arial" w:eastAsia="Times New Roman" w:cs="Arial"/>
      <w:color w:val="000000"/>
      <w:kern w:val="0"/>
      <w:sz w:val="20"/>
      <w:szCs w:val="20"/>
      <w:lang w:eastAsia="ru-RU"/>
    </w:rPr>
  </w:style>
  <w:style w:type="paragraph" w:customStyle="1" w:styleId="604">
    <w:name w:val="top1"/>
    <w:basedOn w:val="1"/>
    <w:uiPriority w:val="0"/>
    <w:pPr>
      <w:spacing w:before="100" w:beforeAutospacing="1" w:after="100" w:afterAutospacing="1" w:line="240" w:lineRule="auto"/>
      <w:jc w:val="center"/>
    </w:pPr>
    <w:rPr>
      <w:rFonts w:ascii="Arial" w:hAnsi="Arial" w:eastAsia="Times New Roman" w:cs="Arial"/>
      <w:color w:val="000000"/>
      <w:kern w:val="0"/>
      <w:sz w:val="20"/>
      <w:szCs w:val="20"/>
      <w:lang w:eastAsia="ru-RU"/>
    </w:rPr>
  </w:style>
  <w:style w:type="paragraph" w:customStyle="1" w:styleId="605">
    <w:name w:val="text_1"/>
    <w:basedOn w:val="1"/>
    <w:uiPriority w:val="0"/>
    <w:pPr>
      <w:spacing w:before="100" w:beforeAutospacing="1" w:after="100" w:afterAutospacing="1" w:line="240" w:lineRule="auto"/>
    </w:pPr>
    <w:rPr>
      <w:rFonts w:ascii="Verdana" w:hAnsi="Verdana" w:eastAsia="Times New Roman"/>
      <w:kern w:val="0"/>
      <w:sz w:val="18"/>
      <w:szCs w:val="18"/>
      <w:lang w:eastAsia="ru-RU"/>
    </w:rPr>
  </w:style>
  <w:style w:type="paragraph" w:customStyle="1" w:styleId="606">
    <w:name w:val="xl36"/>
    <w:basedOn w:val="1"/>
    <w:uiPriority w:val="0"/>
    <w:pPr>
      <w:pBdr>
        <w:top w:val="single" w:color="auto" w:sz="8" w:space="0"/>
        <w:left w:val="single" w:color="auto" w:sz="8" w:space="0"/>
        <w:right w:val="single" w:color="auto" w:sz="8" w:space="0"/>
      </w:pBdr>
      <w:spacing w:before="100" w:beforeAutospacing="1" w:after="100" w:afterAutospacing="1" w:line="240" w:lineRule="auto"/>
      <w:jc w:val="center"/>
    </w:pPr>
    <w:rPr>
      <w:rFonts w:eastAsia="Times New Roman"/>
      <w:kern w:val="0"/>
      <w:sz w:val="28"/>
      <w:szCs w:val="28"/>
      <w:lang w:eastAsia="ru-RU"/>
    </w:rPr>
  </w:style>
  <w:style w:type="paragraph" w:customStyle="1" w:styleId="607">
    <w:name w:val="Стиль1"/>
    <w:basedOn w:val="1"/>
    <w:uiPriority w:val="0"/>
    <w:pPr>
      <w:spacing w:after="0" w:line="240" w:lineRule="auto"/>
      <w:ind w:firstLine="709"/>
      <w:jc w:val="both"/>
    </w:pPr>
    <w:rPr>
      <w:rFonts w:eastAsia="Times New Roman"/>
      <w:kern w:val="0"/>
      <w:sz w:val="28"/>
      <w:szCs w:val="28"/>
      <w:lang w:eastAsia="ru-RU"/>
    </w:rPr>
  </w:style>
  <w:style w:type="character" w:customStyle="1" w:styleId="608">
    <w:name w:val="WW8Num4z1"/>
    <w:uiPriority w:val="0"/>
    <w:rPr>
      <w:rFonts w:ascii="Courier New" w:hAnsi="Courier New" w:cs="Courier New"/>
    </w:rPr>
  </w:style>
  <w:style w:type="character" w:customStyle="1" w:styleId="609">
    <w:name w:val="WW8Num4z2"/>
    <w:uiPriority w:val="0"/>
    <w:rPr>
      <w:rFonts w:ascii="Wingdings" w:hAnsi="Wingdings"/>
    </w:rPr>
  </w:style>
  <w:style w:type="character" w:customStyle="1" w:styleId="610">
    <w:name w:val="WW8Num7z1"/>
    <w:uiPriority w:val="0"/>
    <w:rPr>
      <w:rFonts w:ascii="Courier New" w:hAnsi="Courier New" w:cs="Courier New"/>
    </w:rPr>
  </w:style>
  <w:style w:type="character" w:customStyle="1" w:styleId="611">
    <w:name w:val="WW8Num7z2"/>
    <w:uiPriority w:val="0"/>
    <w:rPr>
      <w:rFonts w:ascii="Wingdings" w:hAnsi="Wingdings"/>
    </w:rPr>
  </w:style>
  <w:style w:type="character" w:customStyle="1" w:styleId="612">
    <w:name w:val="WW8Num9z1"/>
    <w:uiPriority w:val="0"/>
    <w:rPr>
      <w:rFonts w:ascii="Courier New" w:hAnsi="Courier New" w:cs="Courier New"/>
    </w:rPr>
  </w:style>
  <w:style w:type="character" w:customStyle="1" w:styleId="613">
    <w:name w:val="WW8Num9z2"/>
    <w:uiPriority w:val="0"/>
    <w:rPr>
      <w:rFonts w:ascii="Wingdings" w:hAnsi="Wingdings"/>
    </w:rPr>
  </w:style>
  <w:style w:type="character" w:customStyle="1" w:styleId="614">
    <w:name w:val="WW8Num14z0"/>
    <w:uiPriority w:val="0"/>
    <w:rPr>
      <w:rFonts w:ascii="Times New Roman" w:hAnsi="Times New Roman" w:eastAsia="Times New Roman" w:cs="Times New Roman"/>
    </w:rPr>
  </w:style>
  <w:style w:type="character" w:customStyle="1" w:styleId="615">
    <w:name w:val="WW8Num14z1"/>
    <w:uiPriority w:val="0"/>
    <w:rPr>
      <w:rFonts w:ascii="Courier New" w:hAnsi="Courier New" w:cs="Courier New"/>
    </w:rPr>
  </w:style>
  <w:style w:type="character" w:customStyle="1" w:styleId="616">
    <w:name w:val="WW8Num14z2"/>
    <w:uiPriority w:val="0"/>
    <w:rPr>
      <w:rFonts w:ascii="Wingdings" w:hAnsi="Wingdings"/>
    </w:rPr>
  </w:style>
  <w:style w:type="character" w:customStyle="1" w:styleId="617">
    <w:name w:val="WW8Num14z3"/>
    <w:uiPriority w:val="0"/>
    <w:rPr>
      <w:rFonts w:ascii="Symbol" w:hAnsi="Symbol"/>
    </w:rPr>
  </w:style>
  <w:style w:type="character" w:customStyle="1" w:styleId="618">
    <w:name w:val="WW8Num19z0"/>
    <w:uiPriority w:val="0"/>
    <w:rPr>
      <w:rFonts w:ascii="Symbol" w:hAnsi="Symbol"/>
    </w:rPr>
  </w:style>
  <w:style w:type="character" w:customStyle="1" w:styleId="619">
    <w:name w:val="WW8Num19z1"/>
    <w:uiPriority w:val="0"/>
    <w:rPr>
      <w:rFonts w:ascii="Courier New" w:hAnsi="Courier New" w:cs="Courier New"/>
    </w:rPr>
  </w:style>
  <w:style w:type="character" w:customStyle="1" w:styleId="620">
    <w:name w:val="WW8Num19z2"/>
    <w:uiPriority w:val="0"/>
    <w:rPr>
      <w:rFonts w:ascii="Wingdings" w:hAnsi="Wingdings"/>
    </w:rPr>
  </w:style>
  <w:style w:type="character" w:customStyle="1" w:styleId="621">
    <w:name w:val="WW8Num21z4"/>
    <w:uiPriority w:val="0"/>
    <w:rPr>
      <w:rFonts w:ascii="Courier New" w:hAnsi="Courier New" w:cs="Courier New"/>
    </w:rPr>
  </w:style>
  <w:style w:type="character" w:customStyle="1" w:styleId="622">
    <w:name w:val="WW8Num23z0"/>
    <w:uiPriority w:val="0"/>
    <w:rPr>
      <w:rFonts w:ascii="Symbol" w:hAnsi="Symbol"/>
    </w:rPr>
  </w:style>
  <w:style w:type="character" w:customStyle="1" w:styleId="623">
    <w:name w:val="WW8Num23z1"/>
    <w:uiPriority w:val="0"/>
    <w:rPr>
      <w:rFonts w:ascii="Courier New" w:hAnsi="Courier New" w:cs="Courier New"/>
    </w:rPr>
  </w:style>
  <w:style w:type="character" w:customStyle="1" w:styleId="624">
    <w:name w:val="WW8Num23z2"/>
    <w:uiPriority w:val="0"/>
    <w:rPr>
      <w:rFonts w:ascii="Wingdings" w:hAnsi="Wingdings"/>
    </w:rPr>
  </w:style>
  <w:style w:type="character" w:customStyle="1" w:styleId="625">
    <w:name w:val="WW8Num25z1"/>
    <w:uiPriority w:val="0"/>
    <w:rPr>
      <w:rFonts w:ascii="Courier New" w:hAnsi="Courier New" w:cs="Courier New"/>
    </w:rPr>
  </w:style>
  <w:style w:type="character" w:customStyle="1" w:styleId="626">
    <w:name w:val="WW8Num25z2"/>
    <w:uiPriority w:val="0"/>
    <w:rPr>
      <w:rFonts w:ascii="Wingdings" w:hAnsi="Wingdings"/>
    </w:rPr>
  </w:style>
  <w:style w:type="character" w:customStyle="1" w:styleId="627">
    <w:name w:val="WW8Num26z0"/>
    <w:uiPriority w:val="0"/>
    <w:rPr>
      <w:rFonts w:ascii="Symbol" w:hAnsi="Symbol"/>
    </w:rPr>
  </w:style>
  <w:style w:type="character" w:customStyle="1" w:styleId="628">
    <w:name w:val="WW8Num26z1"/>
    <w:uiPriority w:val="0"/>
    <w:rPr>
      <w:rFonts w:ascii="Courier New" w:hAnsi="Courier New" w:cs="Courier New"/>
    </w:rPr>
  </w:style>
  <w:style w:type="character" w:customStyle="1" w:styleId="629">
    <w:name w:val="WW8Num26z2"/>
    <w:uiPriority w:val="0"/>
    <w:rPr>
      <w:rFonts w:ascii="Wingdings" w:hAnsi="Wingdings"/>
    </w:rPr>
  </w:style>
  <w:style w:type="character" w:customStyle="1" w:styleId="630">
    <w:name w:val="WW8Num27z0"/>
    <w:uiPriority w:val="0"/>
    <w:rPr>
      <w:rFonts w:ascii="Symbol" w:hAnsi="Symbol"/>
    </w:rPr>
  </w:style>
  <w:style w:type="character" w:customStyle="1" w:styleId="631">
    <w:name w:val="WW8Num27z1"/>
    <w:uiPriority w:val="0"/>
    <w:rPr>
      <w:rFonts w:ascii="Courier New" w:hAnsi="Courier New" w:cs="Courier New"/>
    </w:rPr>
  </w:style>
  <w:style w:type="character" w:customStyle="1" w:styleId="632">
    <w:name w:val="WW8Num27z2"/>
    <w:uiPriority w:val="0"/>
    <w:rPr>
      <w:rFonts w:ascii="Wingdings" w:hAnsi="Wingdings"/>
    </w:rPr>
  </w:style>
  <w:style w:type="character" w:customStyle="1" w:styleId="633">
    <w:name w:val="WW8NumSt18z0"/>
    <w:uiPriority w:val="0"/>
    <w:rPr>
      <w:rFonts w:ascii="Times New Roman" w:hAnsi="Times New Roman" w:cs="Times New Roman"/>
    </w:rPr>
  </w:style>
  <w:style w:type="paragraph" w:customStyle="1" w:styleId="634">
    <w:name w:val="Схема документа1"/>
    <w:basedOn w:val="1"/>
    <w:uiPriority w:val="0"/>
    <w:pPr>
      <w:shd w:val="clear" w:color="auto" w:fill="000080"/>
      <w:suppressAutoHyphens/>
      <w:spacing w:after="0" w:line="240" w:lineRule="auto"/>
    </w:pPr>
    <w:rPr>
      <w:rFonts w:ascii="Tahoma" w:hAnsi="Tahoma" w:eastAsia="Times New Roman" w:cs="Tahoma"/>
      <w:kern w:val="0"/>
      <w:sz w:val="20"/>
      <w:szCs w:val="20"/>
      <w:lang w:eastAsia="ar-SA"/>
    </w:rPr>
  </w:style>
  <w:style w:type="paragraph" w:customStyle="1" w:styleId="635">
    <w:name w:val="Текст1"/>
    <w:basedOn w:val="1"/>
    <w:uiPriority w:val="0"/>
    <w:pPr>
      <w:suppressAutoHyphens/>
      <w:spacing w:after="0" w:line="240" w:lineRule="auto"/>
    </w:pPr>
    <w:rPr>
      <w:rFonts w:ascii="Courier New" w:hAnsi="Courier New" w:eastAsia="Times New Roman" w:cs="Courier New"/>
      <w:kern w:val="0"/>
      <w:sz w:val="20"/>
      <w:szCs w:val="20"/>
      <w:lang w:eastAsia="ar-SA"/>
    </w:rPr>
  </w:style>
  <w:style w:type="paragraph" w:customStyle="1" w:styleId="636">
    <w:name w:val="Красная строка 21"/>
    <w:basedOn w:val="72"/>
    <w:uiPriority w:val="0"/>
    <w:pPr>
      <w:suppressAutoHyphens/>
      <w:spacing w:line="240" w:lineRule="auto"/>
      <w:ind w:firstLine="210"/>
    </w:pPr>
    <w:rPr>
      <w:rFonts w:eastAsia="Times New Roman"/>
      <w:kern w:val="0"/>
      <w:sz w:val="20"/>
      <w:szCs w:val="20"/>
      <w:lang w:eastAsia="ar-SA"/>
    </w:rPr>
  </w:style>
  <w:style w:type="paragraph" w:customStyle="1" w:styleId="637">
    <w:name w:val="пояснилка"/>
    <w:basedOn w:val="1"/>
    <w:link w:val="638"/>
    <w:uiPriority w:val="0"/>
    <w:pPr>
      <w:tabs>
        <w:tab w:val="left" w:pos="-142"/>
      </w:tabs>
      <w:spacing w:after="0" w:line="240" w:lineRule="auto"/>
      <w:ind w:right="284" w:firstLine="709"/>
      <w:jc w:val="both"/>
    </w:pPr>
    <w:rPr>
      <w:rFonts w:eastAsia="Times New Roman"/>
      <w:kern w:val="0"/>
      <w:sz w:val="28"/>
      <w:szCs w:val="28"/>
      <w:lang w:eastAsia="ru-RU"/>
    </w:rPr>
  </w:style>
  <w:style w:type="character" w:customStyle="1" w:styleId="638">
    <w:name w:val="пояснилка Знак"/>
    <w:basedOn w:val="11"/>
    <w:link w:val="637"/>
    <w:uiPriority w:val="0"/>
    <w:rPr>
      <w:rFonts w:eastAsia="Times New Roman"/>
      <w:sz w:val="28"/>
      <w:szCs w:val="28"/>
    </w:rPr>
  </w:style>
  <w:style w:type="character" w:customStyle="1" w:styleId="639">
    <w:name w:val="Основной текст с отступом 3 Знак1"/>
    <w:basedOn w:val="11"/>
    <w:uiPriority w:val="0"/>
    <w:rPr>
      <w:rFonts w:ascii="Times New Roman" w:hAnsi="Times New Roman" w:eastAsia="Times New Roman" w:cs="Times New Roman"/>
      <w:sz w:val="16"/>
      <w:szCs w:val="16"/>
      <w:lang w:eastAsia="ru-RU"/>
    </w:rPr>
  </w:style>
  <w:style w:type="paragraph" w:customStyle="1" w:styleId="640">
    <w:name w:val="Основной текст с отступом 33"/>
    <w:basedOn w:val="1"/>
    <w:uiPriority w:val="0"/>
    <w:pPr>
      <w:overflowPunct w:val="0"/>
      <w:autoSpaceDE w:val="0"/>
      <w:autoSpaceDN w:val="0"/>
      <w:adjustRightInd w:val="0"/>
      <w:spacing w:after="0" w:line="240" w:lineRule="auto"/>
      <w:ind w:firstLine="720"/>
      <w:jc w:val="both"/>
      <w:textAlignment w:val="baseline"/>
    </w:pPr>
    <w:rPr>
      <w:rFonts w:eastAsia="Times New Roman"/>
      <w:kern w:val="0"/>
      <w:sz w:val="26"/>
      <w:szCs w:val="20"/>
      <w:lang w:eastAsia="ru-RU"/>
    </w:rPr>
  </w:style>
  <w:style w:type="paragraph" w:customStyle="1" w:styleId="641">
    <w:name w:val="WW-Основной текст 3"/>
    <w:basedOn w:val="1"/>
    <w:uiPriority w:val="0"/>
    <w:pPr>
      <w:widowControl w:val="0"/>
      <w:suppressAutoHyphens/>
      <w:spacing w:after="120" w:line="240" w:lineRule="auto"/>
    </w:pPr>
    <w:rPr>
      <w:rFonts w:eastAsia="Arial Unicode MS"/>
      <w:kern w:val="0"/>
      <w:sz w:val="16"/>
      <w:szCs w:val="16"/>
    </w:rPr>
  </w:style>
  <w:style w:type="character" w:customStyle="1" w:styleId="642">
    <w:name w:val="Символ нумерации"/>
    <w:uiPriority w:val="0"/>
  </w:style>
  <w:style w:type="character" w:customStyle="1" w:styleId="643">
    <w:name w:val="Символы концевой сноски"/>
    <w:basedOn w:val="582"/>
    <w:uiPriority w:val="0"/>
    <w:rPr>
      <w:vertAlign w:val="superscript"/>
    </w:rPr>
  </w:style>
  <w:style w:type="character" w:customStyle="1" w:styleId="644">
    <w:name w:val="WW8Num17z0"/>
    <w:uiPriority w:val="0"/>
    <w:rPr>
      <w:rFonts w:ascii="Symbol" w:hAnsi="Symbol" w:cs="StarSymbol"/>
      <w:sz w:val="18"/>
      <w:szCs w:val="18"/>
    </w:rPr>
  </w:style>
  <w:style w:type="character" w:customStyle="1" w:styleId="645">
    <w:name w:val="WW8Num17z1"/>
    <w:uiPriority w:val="0"/>
    <w:rPr>
      <w:rFonts w:ascii="Courier New" w:hAnsi="Courier New"/>
      <w:sz w:val="20"/>
    </w:rPr>
  </w:style>
  <w:style w:type="character" w:customStyle="1" w:styleId="646">
    <w:name w:val="WW8Num17z2"/>
    <w:uiPriority w:val="0"/>
    <w:rPr>
      <w:rFonts w:ascii="Wingdings" w:hAnsi="Wingdings"/>
      <w:sz w:val="20"/>
    </w:rPr>
  </w:style>
  <w:style w:type="paragraph" w:customStyle="1" w:styleId="647">
    <w:name w:val="WW-Основной текст 2"/>
    <w:basedOn w:val="1"/>
    <w:uiPriority w:val="0"/>
    <w:pPr>
      <w:widowControl w:val="0"/>
      <w:suppressAutoHyphens/>
      <w:spacing w:after="120" w:line="480" w:lineRule="auto"/>
    </w:pPr>
    <w:rPr>
      <w:rFonts w:eastAsia="Arial Unicode MS"/>
      <w:kern w:val="0"/>
    </w:rPr>
  </w:style>
  <w:style w:type="paragraph" w:customStyle="1" w:styleId="648">
    <w:name w:val="Обычный текст"/>
    <w:basedOn w:val="1"/>
    <w:uiPriority w:val="0"/>
    <w:pPr>
      <w:widowControl w:val="0"/>
      <w:spacing w:after="0" w:line="360" w:lineRule="auto"/>
      <w:ind w:left="567" w:right="567" w:firstLine="851"/>
      <w:jc w:val="both"/>
    </w:pPr>
    <w:rPr>
      <w:rFonts w:eastAsia="Times New Roman"/>
      <w:kern w:val="0"/>
      <w:sz w:val="26"/>
      <w:szCs w:val="20"/>
      <w:lang w:eastAsia="ru-RU"/>
    </w:rPr>
  </w:style>
  <w:style w:type="paragraph" w:customStyle="1" w:styleId="649">
    <w:name w:val="СПИСОК"/>
    <w:basedOn w:val="1"/>
    <w:link w:val="650"/>
    <w:uiPriority w:val="0"/>
    <w:pPr>
      <w:numPr>
        <w:ilvl w:val="0"/>
        <w:numId w:val="9"/>
      </w:numPr>
      <w:spacing w:after="120" w:line="312" w:lineRule="auto"/>
      <w:ind w:right="567"/>
      <w:jc w:val="both"/>
    </w:pPr>
    <w:rPr>
      <w:rFonts w:eastAsia="Times New Roman"/>
      <w:kern w:val="0"/>
      <w:sz w:val="26"/>
      <w:szCs w:val="26"/>
      <w:lang w:eastAsia="ru-RU"/>
    </w:rPr>
  </w:style>
  <w:style w:type="character" w:customStyle="1" w:styleId="650">
    <w:name w:val="СПИСОК Знак"/>
    <w:basedOn w:val="11"/>
    <w:link w:val="649"/>
    <w:uiPriority w:val="0"/>
    <w:rPr>
      <w:rFonts w:ascii="Times New Roman" w:hAnsi="Times New Roman" w:eastAsia="Times New Roman" w:cs="Times New Roman"/>
      <w:sz w:val="26"/>
      <w:szCs w:val="26"/>
    </w:rPr>
  </w:style>
  <w:style w:type="paragraph" w:customStyle="1" w:styleId="651">
    <w:name w:val="Пояснительная"/>
    <w:basedOn w:val="1"/>
    <w:link w:val="652"/>
    <w:uiPriority w:val="0"/>
    <w:pPr>
      <w:spacing w:after="0" w:line="240" w:lineRule="auto"/>
      <w:ind w:firstLine="720"/>
      <w:jc w:val="both"/>
    </w:pPr>
    <w:rPr>
      <w:rFonts w:eastAsia="Times New Roman"/>
      <w:kern w:val="0"/>
      <w:sz w:val="28"/>
      <w:szCs w:val="20"/>
      <w:lang w:eastAsia="ru-RU"/>
    </w:rPr>
  </w:style>
  <w:style w:type="character" w:customStyle="1" w:styleId="652">
    <w:name w:val="Пояснительная Знак"/>
    <w:basedOn w:val="11"/>
    <w:link w:val="651"/>
    <w:uiPriority w:val="0"/>
    <w:rPr>
      <w:rFonts w:eastAsia="Times New Roman"/>
      <w:sz w:val="28"/>
    </w:rPr>
  </w:style>
  <w:style w:type="paragraph" w:customStyle="1" w:styleId="653">
    <w:name w:val="список"/>
    <w:basedOn w:val="1"/>
    <w:link w:val="654"/>
    <w:uiPriority w:val="0"/>
    <w:pPr>
      <w:widowControl w:val="0"/>
      <w:numPr>
        <w:ilvl w:val="0"/>
        <w:numId w:val="10"/>
      </w:numPr>
      <w:spacing w:after="0" w:line="360" w:lineRule="auto"/>
      <w:ind w:right="567"/>
      <w:jc w:val="both"/>
    </w:pPr>
    <w:rPr>
      <w:rFonts w:eastAsia="Times New Roman"/>
      <w:snapToGrid w:val="0"/>
      <w:kern w:val="0"/>
      <w:sz w:val="26"/>
      <w:szCs w:val="20"/>
      <w:lang w:eastAsia="ru-RU"/>
    </w:rPr>
  </w:style>
  <w:style w:type="character" w:customStyle="1" w:styleId="654">
    <w:name w:val="список Знак"/>
    <w:basedOn w:val="11"/>
    <w:link w:val="653"/>
    <w:uiPriority w:val="0"/>
    <w:rPr>
      <w:rFonts w:ascii="Times New Roman" w:hAnsi="Times New Roman" w:eastAsia="Times New Roman" w:cs="Times New Roman"/>
      <w:snapToGrid w:val="0"/>
      <w:sz w:val="26"/>
    </w:rPr>
  </w:style>
  <w:style w:type="paragraph" w:customStyle="1" w:styleId="655">
    <w:name w:val="Маркированный список1"/>
    <w:basedOn w:val="1"/>
    <w:uiPriority w:val="0"/>
    <w:pPr>
      <w:numPr>
        <w:ilvl w:val="0"/>
        <w:numId w:val="11"/>
      </w:numPr>
      <w:spacing w:after="0" w:line="240" w:lineRule="auto"/>
    </w:pPr>
    <w:rPr>
      <w:rFonts w:eastAsia="Times New Roman"/>
      <w:kern w:val="0"/>
      <w:lang w:eastAsia="ru-RU"/>
    </w:rPr>
  </w:style>
  <w:style w:type="paragraph" w:customStyle="1" w:styleId="656">
    <w:name w:val="заголовок 1"/>
    <w:basedOn w:val="1"/>
    <w:next w:val="1"/>
    <w:uiPriority w:val="0"/>
    <w:pPr>
      <w:keepNext/>
      <w:spacing w:after="0" w:line="240" w:lineRule="auto"/>
      <w:jc w:val="center"/>
    </w:pPr>
    <w:rPr>
      <w:rFonts w:eastAsia="Times New Roman"/>
      <w:b/>
      <w:kern w:val="0"/>
      <w:sz w:val="28"/>
      <w:szCs w:val="20"/>
      <w:lang w:eastAsia="ru-RU"/>
    </w:rPr>
  </w:style>
  <w:style w:type="character" w:customStyle="1" w:styleId="657">
    <w:name w:val="WW-Absatz-Standardschriftart111111"/>
    <w:uiPriority w:val="0"/>
  </w:style>
  <w:style w:type="character" w:customStyle="1" w:styleId="658">
    <w:name w:val="WW-Absatz-Standardschriftart1111111"/>
    <w:uiPriority w:val="0"/>
  </w:style>
  <w:style w:type="character" w:customStyle="1" w:styleId="659">
    <w:name w:val="WW-Absatz-Standardschriftart11111111"/>
    <w:uiPriority w:val="0"/>
  </w:style>
  <w:style w:type="character" w:customStyle="1" w:styleId="660">
    <w:name w:val="WW-Absatz-Standardschriftart111111111"/>
    <w:uiPriority w:val="0"/>
  </w:style>
  <w:style w:type="character" w:customStyle="1" w:styleId="661">
    <w:name w:val="WW-Absatz-Standardschriftart1111111111"/>
    <w:uiPriority w:val="0"/>
  </w:style>
  <w:style w:type="character" w:customStyle="1" w:styleId="662">
    <w:name w:val="WW-Absatz-Standardschriftart11111111111"/>
    <w:uiPriority w:val="0"/>
  </w:style>
  <w:style w:type="character" w:customStyle="1" w:styleId="663">
    <w:name w:val="WW-Absatz-Standardschriftart111111111111"/>
    <w:uiPriority w:val="0"/>
  </w:style>
  <w:style w:type="character" w:customStyle="1" w:styleId="664">
    <w:name w:val="WW-Absatz-Standardschriftart1111111111111"/>
    <w:uiPriority w:val="0"/>
  </w:style>
  <w:style w:type="character" w:customStyle="1" w:styleId="665">
    <w:name w:val="WW-Absatz-Standardschriftart11111111111111"/>
    <w:uiPriority w:val="0"/>
  </w:style>
  <w:style w:type="character" w:customStyle="1" w:styleId="666">
    <w:name w:val="WW-Absatz-Standardschriftart111111111111111"/>
    <w:uiPriority w:val="0"/>
  </w:style>
  <w:style w:type="character" w:customStyle="1" w:styleId="667">
    <w:name w:val="WW-Absatz-Standardschriftart1111111111111111"/>
    <w:uiPriority w:val="0"/>
  </w:style>
  <w:style w:type="character" w:customStyle="1" w:styleId="668">
    <w:name w:val="WW-Absatz-Standardschriftart11111111111111111"/>
    <w:uiPriority w:val="0"/>
  </w:style>
  <w:style w:type="character" w:customStyle="1" w:styleId="669">
    <w:name w:val="WW-Absatz-Standardschriftart111111111111111111"/>
    <w:uiPriority w:val="0"/>
  </w:style>
  <w:style w:type="character" w:customStyle="1" w:styleId="670">
    <w:name w:val="WW-Absatz-Standardschriftart1111111111111111111"/>
    <w:uiPriority w:val="0"/>
  </w:style>
  <w:style w:type="character" w:customStyle="1" w:styleId="671">
    <w:name w:val="WW-Absatz-Standardschriftart11111111111111111111"/>
    <w:uiPriority w:val="0"/>
  </w:style>
  <w:style w:type="character" w:customStyle="1" w:styleId="672">
    <w:name w:val="WW8Num5z1"/>
    <w:uiPriority w:val="0"/>
    <w:rPr>
      <w:rFonts w:ascii="Courier New" w:hAnsi="Courier New"/>
    </w:rPr>
  </w:style>
  <w:style w:type="character" w:customStyle="1" w:styleId="673">
    <w:name w:val="WW8Num5z2"/>
    <w:uiPriority w:val="0"/>
    <w:rPr>
      <w:rFonts w:ascii="Wingdings" w:hAnsi="Wingdings"/>
    </w:rPr>
  </w:style>
  <w:style w:type="character" w:customStyle="1" w:styleId="674">
    <w:name w:val="WW8Num5z3"/>
    <w:uiPriority w:val="0"/>
    <w:rPr>
      <w:rFonts w:ascii="Symbol" w:hAnsi="Symbol"/>
    </w:rPr>
  </w:style>
  <w:style w:type="character" w:customStyle="1" w:styleId="675">
    <w:name w:val="WW8Num8z3"/>
    <w:uiPriority w:val="0"/>
    <w:rPr>
      <w:rFonts w:ascii="Symbol" w:hAnsi="Symbol"/>
    </w:rPr>
  </w:style>
  <w:style w:type="character" w:customStyle="1" w:styleId="676">
    <w:name w:val="WW8Num9z3"/>
    <w:uiPriority w:val="0"/>
    <w:rPr>
      <w:rFonts w:ascii="Symbol" w:hAnsi="Symbol"/>
    </w:rPr>
  </w:style>
  <w:style w:type="character" w:customStyle="1" w:styleId="677">
    <w:name w:val="WW8Num4z3"/>
    <w:uiPriority w:val="0"/>
    <w:rPr>
      <w:rFonts w:ascii="Symbol" w:hAnsi="Symbol"/>
    </w:rPr>
  </w:style>
  <w:style w:type="character" w:customStyle="1" w:styleId="678">
    <w:name w:val="WW8Num3z3"/>
    <w:uiPriority w:val="0"/>
    <w:rPr>
      <w:rFonts w:ascii="Symbol" w:hAnsi="Symbol"/>
    </w:rPr>
  </w:style>
  <w:style w:type="character" w:customStyle="1" w:styleId="679">
    <w:name w:val="WW8Num6z3"/>
    <w:uiPriority w:val="0"/>
    <w:rPr>
      <w:rFonts w:ascii="Symbol" w:hAnsi="Symbol"/>
    </w:rPr>
  </w:style>
  <w:style w:type="paragraph" w:customStyle="1" w:styleId="680">
    <w:name w:val="Нижний колонтитул справа"/>
    <w:basedOn w:val="1"/>
    <w:uiPriority w:val="0"/>
    <w:pPr>
      <w:widowControl w:val="0"/>
      <w:suppressLineNumbers/>
      <w:tabs>
        <w:tab w:val="center" w:pos="5187"/>
        <w:tab w:val="right" w:pos="10375"/>
      </w:tabs>
      <w:suppressAutoHyphens/>
      <w:spacing w:after="0" w:line="240" w:lineRule="auto"/>
    </w:pPr>
    <w:rPr>
      <w:rFonts w:ascii="Arial" w:hAnsi="Arial" w:eastAsia="Arial Unicode MS"/>
      <w:kern w:val="0"/>
    </w:rPr>
  </w:style>
  <w:style w:type="paragraph" w:customStyle="1" w:styleId="681">
    <w:name w:val="Горизонтальная линия"/>
    <w:basedOn w:val="1"/>
    <w:next w:val="56"/>
    <w:uiPriority w:val="0"/>
    <w:pPr>
      <w:widowControl w:val="0"/>
      <w:suppressLineNumbers/>
      <w:pBdr>
        <w:bottom w:val="double" w:color="808080" w:sz="2" w:space="0"/>
      </w:pBdr>
      <w:suppressAutoHyphens/>
      <w:spacing w:after="283" w:line="240" w:lineRule="auto"/>
    </w:pPr>
    <w:rPr>
      <w:rFonts w:ascii="Arial" w:hAnsi="Arial" w:eastAsia="Arial Unicode MS"/>
      <w:kern w:val="0"/>
      <w:sz w:val="12"/>
      <w:szCs w:val="12"/>
    </w:rPr>
  </w:style>
  <w:style w:type="paragraph" w:customStyle="1" w:styleId="682">
    <w:name w:val="Body Text 21"/>
    <w:basedOn w:val="1"/>
    <w:uiPriority w:val="0"/>
    <w:pPr>
      <w:widowControl w:val="0"/>
      <w:suppressAutoHyphens/>
      <w:autoSpaceDE w:val="0"/>
      <w:spacing w:after="0" w:line="240" w:lineRule="auto"/>
      <w:jc w:val="both"/>
    </w:pPr>
    <w:rPr>
      <w:rFonts w:ascii="Arial" w:hAnsi="Arial" w:eastAsia="Arial Unicode MS"/>
      <w:kern w:val="0"/>
      <w:sz w:val="28"/>
      <w:szCs w:val="20"/>
    </w:rPr>
  </w:style>
  <w:style w:type="character" w:customStyle="1" w:styleId="683">
    <w:name w:val="WW8Num1z1"/>
    <w:uiPriority w:val="0"/>
    <w:rPr>
      <w:rFonts w:ascii="Wingdings" w:hAnsi="Wingdings"/>
    </w:rPr>
  </w:style>
  <w:style w:type="character" w:customStyle="1" w:styleId="684">
    <w:name w:val="WW8Num1z2"/>
    <w:uiPriority w:val="0"/>
    <w:rPr>
      <w:rFonts w:ascii="Wingdings" w:hAnsi="Wingdings"/>
      <w:position w:val="0"/>
      <w:sz w:val="24"/>
      <w:vertAlign w:val="baseline"/>
    </w:rPr>
  </w:style>
  <w:style w:type="character" w:customStyle="1" w:styleId="685">
    <w:name w:val="WW8Num24z0"/>
    <w:uiPriority w:val="0"/>
    <w:rPr>
      <w:position w:val="0"/>
      <w:sz w:val="24"/>
      <w:vertAlign w:val="baseline"/>
    </w:rPr>
  </w:style>
  <w:style w:type="character" w:customStyle="1" w:styleId="686">
    <w:name w:val="WW-Символы концевой сноски"/>
    <w:uiPriority w:val="0"/>
  </w:style>
  <w:style w:type="character" w:customStyle="1" w:styleId="687">
    <w:name w:val="WW8Num32z0"/>
    <w:uiPriority w:val="0"/>
    <w:rPr>
      <w:position w:val="0"/>
      <w:sz w:val="24"/>
      <w:vertAlign w:val="baseline"/>
    </w:rPr>
  </w:style>
  <w:style w:type="character" w:customStyle="1" w:styleId="688">
    <w:name w:val="WW8Num44z0"/>
    <w:uiPriority w:val="0"/>
    <w:rPr>
      <w:position w:val="0"/>
      <w:sz w:val="24"/>
      <w:vertAlign w:val="baseline"/>
    </w:rPr>
  </w:style>
  <w:style w:type="character" w:customStyle="1" w:styleId="689">
    <w:name w:val="WW8Num169z0"/>
    <w:uiPriority w:val="0"/>
    <w:rPr>
      <w:rFonts w:ascii="Times New Roman" w:hAnsi="Times New Roman" w:eastAsia="Times New Roman" w:cs="Times New Roman"/>
    </w:rPr>
  </w:style>
  <w:style w:type="character" w:customStyle="1" w:styleId="690">
    <w:name w:val="WW8Num169z1"/>
    <w:uiPriority w:val="0"/>
    <w:rPr>
      <w:rFonts w:ascii="Courier New" w:hAnsi="Courier New"/>
    </w:rPr>
  </w:style>
  <w:style w:type="character" w:customStyle="1" w:styleId="691">
    <w:name w:val="WW8Num169z2"/>
    <w:uiPriority w:val="0"/>
    <w:rPr>
      <w:rFonts w:ascii="Wingdings" w:hAnsi="Wingdings"/>
    </w:rPr>
  </w:style>
  <w:style w:type="character" w:customStyle="1" w:styleId="692">
    <w:name w:val="WW8Num169z3"/>
    <w:uiPriority w:val="0"/>
    <w:rPr>
      <w:rFonts w:ascii="Symbol" w:hAnsi="Symbol"/>
    </w:rPr>
  </w:style>
  <w:style w:type="character" w:customStyle="1" w:styleId="693">
    <w:name w:val="WW8Num321z0"/>
    <w:uiPriority w:val="0"/>
    <w:rPr>
      <w:rFonts w:ascii="Wingdings" w:hAnsi="Wingdings"/>
    </w:rPr>
  </w:style>
  <w:style w:type="character" w:customStyle="1" w:styleId="694">
    <w:name w:val="WW8Num321z1"/>
    <w:uiPriority w:val="0"/>
    <w:rPr>
      <w:rFonts w:ascii="Courier New" w:hAnsi="Courier New" w:cs="Courier New"/>
    </w:rPr>
  </w:style>
  <w:style w:type="character" w:customStyle="1" w:styleId="695">
    <w:name w:val="WW8Num321z3"/>
    <w:uiPriority w:val="0"/>
    <w:rPr>
      <w:rFonts w:ascii="Symbol" w:hAnsi="Symbol"/>
    </w:rPr>
  </w:style>
  <w:style w:type="character" w:customStyle="1" w:styleId="696">
    <w:name w:val="WW8Num513z0"/>
    <w:uiPriority w:val="0"/>
    <w:rPr>
      <w:rFonts w:ascii="Symbol" w:hAnsi="Symbol"/>
    </w:rPr>
  </w:style>
  <w:style w:type="character" w:customStyle="1" w:styleId="697">
    <w:name w:val="WW8Num513z1"/>
    <w:uiPriority w:val="0"/>
    <w:rPr>
      <w:rFonts w:ascii="Courier New" w:hAnsi="Courier New" w:cs="Courier New"/>
    </w:rPr>
  </w:style>
  <w:style w:type="character" w:customStyle="1" w:styleId="698">
    <w:name w:val="WW8Num513z2"/>
    <w:uiPriority w:val="0"/>
    <w:rPr>
      <w:rFonts w:ascii="Wingdings" w:hAnsi="Wingdings"/>
    </w:rPr>
  </w:style>
  <w:style w:type="character" w:customStyle="1" w:styleId="699">
    <w:name w:val="WW8Num340z0"/>
    <w:uiPriority w:val="0"/>
    <w:rPr>
      <w:rFonts w:ascii="Symbol" w:hAnsi="Symbol"/>
    </w:rPr>
  </w:style>
  <w:style w:type="character" w:customStyle="1" w:styleId="700">
    <w:name w:val="WW8Num340z1"/>
    <w:uiPriority w:val="0"/>
    <w:rPr>
      <w:rFonts w:ascii="Courier New" w:hAnsi="Courier New" w:cs="Courier New"/>
    </w:rPr>
  </w:style>
  <w:style w:type="character" w:customStyle="1" w:styleId="701">
    <w:name w:val="WW8Num340z2"/>
    <w:uiPriority w:val="0"/>
    <w:rPr>
      <w:rFonts w:ascii="Wingdings" w:hAnsi="Wingdings"/>
    </w:rPr>
  </w:style>
  <w:style w:type="character" w:customStyle="1" w:styleId="702">
    <w:name w:val="WW8Num569z0"/>
    <w:uiPriority w:val="0"/>
    <w:rPr>
      <w:rFonts w:ascii="Wingdings" w:hAnsi="Wingdings"/>
    </w:rPr>
  </w:style>
  <w:style w:type="character" w:customStyle="1" w:styleId="703">
    <w:name w:val="WW8Num569z1"/>
    <w:uiPriority w:val="0"/>
    <w:rPr>
      <w:rFonts w:ascii="Courier New" w:hAnsi="Courier New" w:cs="Courier New"/>
    </w:rPr>
  </w:style>
  <w:style w:type="character" w:customStyle="1" w:styleId="704">
    <w:name w:val="WW8Num569z3"/>
    <w:uiPriority w:val="0"/>
    <w:rPr>
      <w:rFonts w:ascii="Symbol" w:hAnsi="Symbol"/>
    </w:rPr>
  </w:style>
  <w:style w:type="character" w:customStyle="1" w:styleId="705">
    <w:name w:val="WW8Num192z0"/>
    <w:uiPriority w:val="0"/>
    <w:rPr>
      <w:rFonts w:ascii="Wingdings" w:hAnsi="Wingdings"/>
    </w:rPr>
  </w:style>
  <w:style w:type="character" w:customStyle="1" w:styleId="706">
    <w:name w:val="WW8Num192z1"/>
    <w:uiPriority w:val="0"/>
    <w:rPr>
      <w:rFonts w:ascii="Courier New" w:hAnsi="Courier New" w:cs="Courier New"/>
    </w:rPr>
  </w:style>
  <w:style w:type="character" w:customStyle="1" w:styleId="707">
    <w:name w:val="WW8Num192z3"/>
    <w:uiPriority w:val="0"/>
    <w:rPr>
      <w:rFonts w:ascii="Symbol" w:hAnsi="Symbol"/>
    </w:rPr>
  </w:style>
  <w:style w:type="character" w:customStyle="1" w:styleId="708">
    <w:name w:val="WW8Num561z0"/>
    <w:uiPriority w:val="0"/>
    <w:rPr>
      <w:rFonts w:ascii="Symbol" w:hAnsi="Symbol"/>
    </w:rPr>
  </w:style>
  <w:style w:type="character" w:customStyle="1" w:styleId="709">
    <w:name w:val="WW8Num561z1"/>
    <w:uiPriority w:val="0"/>
    <w:rPr>
      <w:rFonts w:ascii="Courier New" w:hAnsi="Courier New"/>
    </w:rPr>
  </w:style>
  <w:style w:type="character" w:customStyle="1" w:styleId="710">
    <w:name w:val="WW8Num561z2"/>
    <w:uiPriority w:val="0"/>
    <w:rPr>
      <w:rFonts w:ascii="Wingdings" w:hAnsi="Wingdings"/>
    </w:rPr>
  </w:style>
  <w:style w:type="paragraph" w:customStyle="1" w:styleId="711">
    <w:name w:val="Основной текст 33"/>
    <w:basedOn w:val="1"/>
    <w:uiPriority w:val="0"/>
    <w:pPr>
      <w:spacing w:after="0" w:line="240" w:lineRule="auto"/>
    </w:pPr>
    <w:rPr>
      <w:rFonts w:eastAsia="Times New Roman"/>
      <w:kern w:val="0"/>
      <w:sz w:val="28"/>
      <w:szCs w:val="20"/>
      <w:lang w:val="en-US" w:eastAsia="ru-RU"/>
    </w:rPr>
  </w:style>
  <w:style w:type="paragraph" w:customStyle="1" w:styleId="712">
    <w:name w:val="ConsCell"/>
    <w:semiHidden/>
    <w:uiPriority w:val="0"/>
    <w:pPr>
      <w:widowControl w:val="0"/>
      <w:autoSpaceDE w:val="0"/>
      <w:autoSpaceDN w:val="0"/>
      <w:adjustRightInd w:val="0"/>
      <w:spacing w:after="160" w:line="259" w:lineRule="auto"/>
      <w:ind w:right="19772"/>
    </w:pPr>
    <w:rPr>
      <w:rFonts w:ascii="Arial" w:hAnsi="Arial" w:eastAsia="Times New Roman" w:cs="Arial"/>
      <w:lang w:val="ru-RU" w:eastAsia="ru-RU" w:bidi="ar-SA"/>
    </w:rPr>
  </w:style>
  <w:style w:type="paragraph" w:customStyle="1" w:styleId="713">
    <w:name w:val="S_Обычный в таблице"/>
    <w:basedOn w:val="1"/>
    <w:link w:val="714"/>
    <w:uiPriority w:val="0"/>
    <w:pPr>
      <w:spacing w:after="0" w:line="360" w:lineRule="auto"/>
      <w:jc w:val="center"/>
    </w:pPr>
    <w:rPr>
      <w:rFonts w:eastAsia="Times New Roman"/>
      <w:kern w:val="0"/>
      <w:lang w:eastAsia="ru-RU"/>
    </w:rPr>
  </w:style>
  <w:style w:type="character" w:customStyle="1" w:styleId="714">
    <w:name w:val="S_Обычный в таблице Знак"/>
    <w:basedOn w:val="11"/>
    <w:link w:val="713"/>
    <w:uiPriority w:val="0"/>
    <w:rPr>
      <w:rFonts w:eastAsia="Times New Roman"/>
      <w:sz w:val="24"/>
      <w:szCs w:val="24"/>
    </w:rPr>
  </w:style>
  <w:style w:type="character" w:customStyle="1" w:styleId="715">
    <w:name w:val="ConsNormal Знак"/>
    <w:basedOn w:val="11"/>
    <w:link w:val="167"/>
    <w:uiPriority w:val="0"/>
    <w:rPr>
      <w:rFonts w:ascii="Arial" w:hAnsi="Arial" w:eastAsia="Times New Roman" w:cs="Arial"/>
    </w:rPr>
  </w:style>
  <w:style w:type="paragraph" w:customStyle="1" w:styleId="716">
    <w:name w:val="sdendnote"/>
    <w:basedOn w:val="1"/>
    <w:uiPriority w:val="0"/>
    <w:pPr>
      <w:spacing w:before="100" w:beforeAutospacing="1" w:after="0" w:line="240" w:lineRule="auto"/>
      <w:ind w:left="284" w:hanging="284"/>
    </w:pPr>
    <w:rPr>
      <w:rFonts w:eastAsia="Times New Roman"/>
      <w:kern w:val="0"/>
      <w:sz w:val="20"/>
      <w:szCs w:val="20"/>
      <w:lang w:eastAsia="ru-RU"/>
    </w:rPr>
  </w:style>
  <w:style w:type="paragraph" w:customStyle="1" w:styleId="717">
    <w:name w:val="sdfootnote-western"/>
    <w:basedOn w:val="1"/>
    <w:uiPriority w:val="0"/>
    <w:pPr>
      <w:spacing w:before="100" w:beforeAutospacing="1" w:after="0" w:line="240" w:lineRule="auto"/>
    </w:pPr>
    <w:rPr>
      <w:rFonts w:eastAsia="Times New Roman"/>
      <w:kern w:val="0"/>
      <w:sz w:val="20"/>
      <w:szCs w:val="20"/>
      <w:lang w:eastAsia="ru-RU"/>
    </w:rPr>
  </w:style>
  <w:style w:type="paragraph" w:customStyle="1" w:styleId="718">
    <w:name w:val="sdfootnote-cjk"/>
    <w:basedOn w:val="1"/>
    <w:uiPriority w:val="0"/>
    <w:pPr>
      <w:spacing w:before="100" w:beforeAutospacing="1" w:after="0" w:line="240" w:lineRule="auto"/>
    </w:pPr>
    <w:rPr>
      <w:rFonts w:eastAsia="Times New Roman"/>
      <w:kern w:val="0"/>
      <w:sz w:val="20"/>
      <w:szCs w:val="20"/>
      <w:lang w:eastAsia="ru-RU"/>
    </w:rPr>
  </w:style>
  <w:style w:type="paragraph" w:customStyle="1" w:styleId="719">
    <w:name w:val="sdfootnote-ctl"/>
    <w:basedOn w:val="1"/>
    <w:uiPriority w:val="0"/>
    <w:pPr>
      <w:spacing w:before="100" w:beforeAutospacing="1" w:after="0" w:line="240" w:lineRule="auto"/>
    </w:pPr>
    <w:rPr>
      <w:rFonts w:eastAsia="Times New Roman"/>
      <w:kern w:val="0"/>
      <w:lang w:eastAsia="ru-RU"/>
    </w:rPr>
  </w:style>
  <w:style w:type="paragraph" w:customStyle="1" w:styleId="720">
    <w:name w:val="clstext"/>
    <w:basedOn w:val="1"/>
    <w:uiPriority w:val="0"/>
    <w:pPr>
      <w:spacing w:before="45" w:after="45" w:line="240" w:lineRule="auto"/>
      <w:ind w:left="45" w:right="45" w:firstLine="225"/>
      <w:jc w:val="both"/>
    </w:pPr>
    <w:rPr>
      <w:rFonts w:ascii="Arial CYR" w:hAnsi="Arial CYR" w:eastAsia="Times New Roman" w:cs="Arial CYR"/>
      <w:color w:val="000000"/>
      <w:kern w:val="0"/>
      <w:sz w:val="18"/>
      <w:szCs w:val="18"/>
      <w:lang w:eastAsia="ru-RU"/>
    </w:rPr>
  </w:style>
  <w:style w:type="paragraph" w:customStyle="1" w:styleId="721">
    <w:name w:val="Обычный отступ1"/>
    <w:basedOn w:val="1"/>
    <w:uiPriority w:val="0"/>
    <w:pPr>
      <w:suppressAutoHyphens/>
      <w:spacing w:after="0" w:line="240" w:lineRule="auto"/>
      <w:ind w:left="708"/>
    </w:pPr>
    <w:rPr>
      <w:rFonts w:eastAsia="Times New Roman"/>
      <w:kern w:val="0"/>
      <w:sz w:val="20"/>
      <w:szCs w:val="20"/>
      <w:lang w:eastAsia="ar-SA"/>
    </w:rPr>
  </w:style>
  <w:style w:type="paragraph" w:customStyle="1" w:styleId="722">
    <w:name w:val="Основной текст 231"/>
    <w:basedOn w:val="1"/>
    <w:uiPriority w:val="0"/>
    <w:pPr>
      <w:overflowPunct w:val="0"/>
      <w:autoSpaceDE w:val="0"/>
      <w:autoSpaceDN w:val="0"/>
      <w:adjustRightInd w:val="0"/>
      <w:spacing w:after="0" w:line="240" w:lineRule="auto"/>
      <w:jc w:val="both"/>
      <w:textAlignment w:val="baseline"/>
    </w:pPr>
    <w:rPr>
      <w:rFonts w:eastAsia="Times New Roman"/>
      <w:kern w:val="0"/>
      <w:sz w:val="28"/>
      <w:szCs w:val="20"/>
      <w:lang w:eastAsia="ru-RU"/>
    </w:rPr>
  </w:style>
  <w:style w:type="paragraph" w:customStyle="1" w:styleId="723">
    <w:name w:val="Основной текст 331"/>
    <w:basedOn w:val="1"/>
    <w:uiPriority w:val="0"/>
    <w:pPr>
      <w:spacing w:after="0" w:line="240" w:lineRule="auto"/>
    </w:pPr>
    <w:rPr>
      <w:rFonts w:eastAsia="Times New Roman"/>
      <w:kern w:val="0"/>
      <w:sz w:val="28"/>
      <w:szCs w:val="20"/>
      <w:lang w:val="en-US" w:eastAsia="ru-RU"/>
    </w:rPr>
  </w:style>
  <w:style w:type="paragraph" w:customStyle="1" w:styleId="724">
    <w:name w:val="Body Text Indent 21"/>
    <w:basedOn w:val="1"/>
    <w:uiPriority w:val="0"/>
    <w:pPr>
      <w:overflowPunct w:val="0"/>
      <w:autoSpaceDE w:val="0"/>
      <w:autoSpaceDN w:val="0"/>
      <w:adjustRightInd w:val="0"/>
      <w:spacing w:after="0" w:line="240" w:lineRule="auto"/>
      <w:ind w:firstLine="851"/>
      <w:jc w:val="both"/>
    </w:pPr>
    <w:rPr>
      <w:rFonts w:eastAsia="Times New Roman"/>
      <w:kern w:val="0"/>
      <w:sz w:val="28"/>
      <w:szCs w:val="20"/>
      <w:lang w:eastAsia="ru-RU"/>
    </w:rPr>
  </w:style>
  <w:style w:type="paragraph" w:customStyle="1" w:styleId="725">
    <w:name w:val="Normal Знак Знак Знак"/>
    <w:uiPriority w:val="0"/>
    <w:pPr>
      <w:suppressAutoHyphens/>
      <w:spacing w:before="100" w:after="100" w:line="259" w:lineRule="auto"/>
      <w:jc w:val="both"/>
    </w:pPr>
    <w:rPr>
      <w:rFonts w:ascii="Times New Roman" w:hAnsi="Times New Roman" w:eastAsia="Times New Roman" w:cs="Times New Roman"/>
      <w:sz w:val="24"/>
      <w:szCs w:val="24"/>
      <w:lang w:val="ru-RU" w:eastAsia="ar-SA" w:bidi="ar-SA"/>
    </w:rPr>
  </w:style>
  <w:style w:type="paragraph" w:customStyle="1" w:styleId="726">
    <w:name w:val="Style33"/>
    <w:basedOn w:val="1"/>
    <w:uiPriority w:val="0"/>
    <w:pPr>
      <w:widowControl w:val="0"/>
      <w:autoSpaceDE w:val="0"/>
      <w:autoSpaceDN w:val="0"/>
      <w:adjustRightInd w:val="0"/>
      <w:spacing w:after="0" w:line="240" w:lineRule="auto"/>
    </w:pPr>
    <w:rPr>
      <w:rFonts w:eastAsia="Times New Roman"/>
      <w:kern w:val="0"/>
      <w:lang w:eastAsia="ru-RU"/>
    </w:rPr>
  </w:style>
  <w:style w:type="character" w:customStyle="1" w:styleId="727">
    <w:name w:val="WW8Num17z3"/>
    <w:uiPriority w:val="0"/>
    <w:rPr>
      <w:rFonts w:ascii="Symbol" w:hAnsi="Symbol"/>
    </w:rPr>
  </w:style>
  <w:style w:type="character" w:customStyle="1" w:styleId="728">
    <w:name w:val="WW8Num30z0"/>
    <w:uiPriority w:val="0"/>
    <w:rPr>
      <w:rFonts w:ascii="Times New Roman" w:hAnsi="Times New Roman"/>
      <w:sz w:val="24"/>
      <w:u w:val="none"/>
    </w:rPr>
  </w:style>
  <w:style w:type="character" w:customStyle="1" w:styleId="729">
    <w:name w:val="WW8NumSt14z0"/>
    <w:uiPriority w:val="0"/>
    <w:rPr>
      <w:rFonts w:ascii="Times New Roman" w:hAnsi="Times New Roman"/>
      <w:sz w:val="24"/>
      <w:u w:val="none"/>
    </w:rPr>
  </w:style>
  <w:style w:type="character" w:customStyle="1" w:styleId="730">
    <w:name w:val="WW8NumSt15z0"/>
    <w:uiPriority w:val="0"/>
    <w:rPr>
      <w:rFonts w:ascii="Times New Roman" w:hAnsi="Times New Roman"/>
      <w:sz w:val="24"/>
      <w:u w:val="none"/>
    </w:rPr>
  </w:style>
  <w:style w:type="character" w:customStyle="1" w:styleId="731">
    <w:name w:val="WW8NumSt17z0"/>
    <w:uiPriority w:val="0"/>
    <w:rPr>
      <w:rFonts w:ascii="Times New Roman" w:hAnsi="Times New Roman"/>
      <w:sz w:val="24"/>
      <w:u w:val="none"/>
    </w:rPr>
  </w:style>
  <w:style w:type="paragraph" w:customStyle="1" w:styleId="732">
    <w:name w:val="ConsTitle"/>
    <w:uiPriority w:val="0"/>
    <w:pPr>
      <w:widowControl w:val="0"/>
      <w:autoSpaceDE w:val="0"/>
      <w:autoSpaceDN w:val="0"/>
      <w:adjustRightInd w:val="0"/>
      <w:spacing w:after="160" w:line="259" w:lineRule="auto"/>
      <w:ind w:right="19772"/>
    </w:pPr>
    <w:rPr>
      <w:rFonts w:ascii="Arial" w:hAnsi="Arial" w:eastAsia="Times New Roman" w:cs="Arial"/>
      <w:b/>
      <w:bCs/>
      <w:sz w:val="16"/>
      <w:szCs w:val="16"/>
      <w:lang w:val="ru-RU" w:eastAsia="ru-RU" w:bidi="ar-SA"/>
    </w:rPr>
  </w:style>
  <w:style w:type="paragraph" w:customStyle="1" w:styleId="733">
    <w:name w:val="u"/>
    <w:basedOn w:val="1"/>
    <w:uiPriority w:val="0"/>
    <w:pPr>
      <w:spacing w:before="100" w:beforeAutospacing="1" w:after="100" w:afterAutospacing="1" w:line="360" w:lineRule="auto"/>
      <w:ind w:firstLine="709"/>
      <w:jc w:val="both"/>
    </w:pPr>
    <w:rPr>
      <w:rFonts w:eastAsia="Times New Roman"/>
      <w:kern w:val="0"/>
      <w:sz w:val="28"/>
      <w:lang w:eastAsia="ru-RU"/>
    </w:rPr>
  </w:style>
  <w:style w:type="paragraph" w:customStyle="1" w:styleId="734">
    <w:name w:val="Обычный (ПЗ)"/>
    <w:basedOn w:val="1"/>
    <w:uiPriority w:val="0"/>
    <w:pPr>
      <w:spacing w:after="0" w:line="240" w:lineRule="auto"/>
      <w:ind w:firstLine="720"/>
      <w:jc w:val="both"/>
    </w:pPr>
    <w:rPr>
      <w:rFonts w:ascii="Arial" w:hAnsi="Arial" w:eastAsia="Times New Roman"/>
      <w:kern w:val="0"/>
      <w:szCs w:val="20"/>
      <w:lang w:eastAsia="ru-RU"/>
    </w:rPr>
  </w:style>
  <w:style w:type="character" w:customStyle="1" w:styleId="735">
    <w:name w:val="Абзац списка Знак"/>
    <w:link w:val="147"/>
    <w:uiPriority w:val="34"/>
    <w:rPr>
      <w:kern w:val="2"/>
      <w:sz w:val="24"/>
      <w:szCs w:val="24"/>
      <w:lang w:eastAsia="en-US"/>
    </w:rPr>
  </w:style>
  <w:style w:type="table" w:customStyle="1" w:styleId="736">
    <w:name w:val="Сетка таблицы21"/>
    <w:basedOn w:val="12"/>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7">
    <w:name w:val="S_Заголовок 1"/>
    <w:basedOn w:val="1"/>
    <w:uiPriority w:val="0"/>
    <w:pPr>
      <w:numPr>
        <w:ilvl w:val="0"/>
        <w:numId w:val="12"/>
      </w:numPr>
      <w:spacing w:after="0" w:line="240" w:lineRule="auto"/>
      <w:jc w:val="center"/>
    </w:pPr>
    <w:rPr>
      <w:rFonts w:eastAsia="Times New Roman"/>
      <w:b/>
      <w:caps/>
      <w:kern w:val="0"/>
      <w:lang w:eastAsia="ru-RU"/>
    </w:rPr>
  </w:style>
  <w:style w:type="paragraph" w:customStyle="1" w:styleId="738">
    <w:name w:val="S_Заголовок 3"/>
    <w:basedOn w:val="4"/>
    <w:link w:val="741"/>
    <w:uiPriority w:val="0"/>
    <w:pPr>
      <w:keepNext w:val="0"/>
      <w:keepLines w:val="0"/>
      <w:tabs>
        <w:tab w:val="left" w:pos="1800"/>
      </w:tabs>
      <w:spacing w:before="0" w:line="360" w:lineRule="auto"/>
      <w:ind w:left="1800" w:hanging="720"/>
    </w:pPr>
    <w:rPr>
      <w:rFonts w:ascii="Times New Roman" w:hAnsi="Times New Roman"/>
      <w:b w:val="0"/>
      <w:bCs w:val="0"/>
      <w:color w:val="auto"/>
      <w:sz w:val="24"/>
      <w:szCs w:val="24"/>
      <w:u w:val="single"/>
      <w:lang w:eastAsia="ru-RU"/>
    </w:rPr>
  </w:style>
  <w:style w:type="paragraph" w:customStyle="1" w:styleId="739">
    <w:name w:val="S_Заголовок 4"/>
    <w:basedOn w:val="5"/>
    <w:link w:val="740"/>
    <w:uiPriority w:val="0"/>
    <w:pPr>
      <w:keepNext w:val="0"/>
      <w:tabs>
        <w:tab w:val="left" w:pos="1800"/>
      </w:tabs>
      <w:spacing w:before="0" w:after="0"/>
      <w:ind w:left="1800" w:hanging="720"/>
    </w:pPr>
    <w:rPr>
      <w:rFonts w:ascii="Times New Roman" w:hAnsi="Times New Roman"/>
      <w:b w:val="0"/>
      <w:bCs w:val="0"/>
      <w:i/>
      <w:sz w:val="24"/>
      <w:szCs w:val="24"/>
    </w:rPr>
  </w:style>
  <w:style w:type="character" w:customStyle="1" w:styleId="740">
    <w:name w:val="S_Заголовок 4 Знак"/>
    <w:basedOn w:val="11"/>
    <w:link w:val="739"/>
    <w:uiPriority w:val="0"/>
    <w:rPr>
      <w:rFonts w:eastAsia="Times New Roman"/>
      <w:i/>
      <w:sz w:val="24"/>
      <w:szCs w:val="24"/>
    </w:rPr>
  </w:style>
  <w:style w:type="character" w:customStyle="1" w:styleId="741">
    <w:name w:val="S_Заголовок 3 Знак"/>
    <w:basedOn w:val="11"/>
    <w:link w:val="738"/>
    <w:uiPriority w:val="0"/>
    <w:rPr>
      <w:rFonts w:eastAsia="Times New Roman"/>
      <w:sz w:val="24"/>
      <w:szCs w:val="24"/>
      <w:u w:val="single"/>
    </w:rPr>
  </w:style>
  <w:style w:type="paragraph" w:customStyle="1" w:styleId="742">
    <w:name w:val="1."/>
    <w:basedOn w:val="2"/>
    <w:qFormat/>
    <w:uiPriority w:val="0"/>
    <w:pPr>
      <w:keepNext w:val="0"/>
      <w:pageBreakBefore/>
      <w:widowControl w:val="0"/>
      <w:numPr>
        <w:ilvl w:val="0"/>
        <w:numId w:val="13"/>
      </w:numPr>
      <w:tabs>
        <w:tab w:val="left" w:pos="360"/>
      </w:tabs>
      <w:spacing w:before="480" w:after="360" w:line="360" w:lineRule="auto"/>
      <w:ind w:left="0" w:firstLine="0"/>
      <w:jc w:val="center"/>
    </w:pPr>
    <w:rPr>
      <w:rFonts w:ascii="Times New Roman" w:hAnsi="Times New Roman"/>
      <w:bCs w:val="0"/>
      <w:kern w:val="0"/>
    </w:rPr>
  </w:style>
  <w:style w:type="paragraph" w:customStyle="1" w:styleId="743">
    <w:name w:val="1.1."/>
    <w:basedOn w:val="4"/>
    <w:qFormat/>
    <w:uiPriority w:val="0"/>
    <w:pPr>
      <w:keepLines w:val="0"/>
      <w:numPr>
        <w:ilvl w:val="1"/>
        <w:numId w:val="13"/>
      </w:numPr>
      <w:tabs>
        <w:tab w:val="left" w:pos="360"/>
      </w:tabs>
      <w:spacing w:before="240" w:after="240" w:line="360" w:lineRule="auto"/>
      <w:ind w:left="0" w:firstLine="0"/>
      <w:jc w:val="center"/>
      <w:outlineLvl w:val="1"/>
    </w:pPr>
    <w:rPr>
      <w:rFonts w:ascii="Times New Roman" w:hAnsi="Times New Roman"/>
      <w:iCs/>
      <w:color w:val="auto"/>
      <w:sz w:val="30"/>
      <w:szCs w:val="30"/>
      <w:lang w:eastAsia="ru-RU"/>
    </w:rPr>
  </w:style>
  <w:style w:type="paragraph" w:customStyle="1" w:styleId="744">
    <w:name w:val="1.1.1."/>
    <w:basedOn w:val="4"/>
    <w:link w:val="745"/>
    <w:qFormat/>
    <w:uiPriority w:val="0"/>
    <w:pPr>
      <w:keepLines w:val="0"/>
      <w:numPr>
        <w:ilvl w:val="2"/>
        <w:numId w:val="13"/>
      </w:numPr>
      <w:spacing w:before="120" w:after="120" w:line="360" w:lineRule="auto"/>
      <w:jc w:val="center"/>
    </w:pPr>
    <w:rPr>
      <w:rFonts w:ascii="Times New Roman" w:hAnsi="Times New Roman"/>
      <w:bCs w:val="0"/>
      <w:color w:val="000000"/>
      <w:kern w:val="32"/>
      <w:sz w:val="28"/>
      <w:szCs w:val="28"/>
      <w:lang w:eastAsia="ru-RU"/>
    </w:rPr>
  </w:style>
  <w:style w:type="character" w:customStyle="1" w:styleId="745">
    <w:name w:val="1.1.1. Знак"/>
    <w:basedOn w:val="11"/>
    <w:link w:val="744"/>
    <w:uiPriority w:val="0"/>
    <w:rPr>
      <w:rFonts w:ascii="Times New Roman" w:hAnsi="Times New Roman" w:eastAsia="Times New Roman" w:cs="Times New Roman"/>
      <w:b/>
      <w:color w:val="000000"/>
      <w:kern w:val="32"/>
      <w:sz w:val="28"/>
      <w:szCs w:val="28"/>
    </w:rPr>
  </w:style>
  <w:style w:type="paragraph" w:customStyle="1" w:styleId="746">
    <w:name w:val="Перечисление"/>
    <w:basedOn w:val="1"/>
    <w:qFormat/>
    <w:uiPriority w:val="0"/>
    <w:pPr>
      <w:numPr>
        <w:ilvl w:val="0"/>
        <w:numId w:val="14"/>
      </w:numPr>
      <w:spacing w:after="0" w:line="360" w:lineRule="auto"/>
      <w:jc w:val="both"/>
    </w:pPr>
    <w:rPr>
      <w:rFonts w:eastAsia="Times New Roman"/>
      <w:kern w:val="0"/>
      <w:lang w:eastAsia="ru-RU"/>
    </w:rPr>
  </w:style>
  <w:style w:type="paragraph" w:customStyle="1" w:styleId="747">
    <w:name w:val="TEXT"/>
    <w:basedOn w:val="1"/>
    <w:link w:val="748"/>
    <w:qFormat/>
    <w:uiPriority w:val="0"/>
    <w:pPr>
      <w:spacing w:after="0" w:line="360" w:lineRule="auto"/>
      <w:ind w:firstLine="851"/>
      <w:jc w:val="both"/>
    </w:pPr>
    <w:rPr>
      <w:rFonts w:eastAsia="Times New Roman"/>
      <w:snapToGrid w:val="0"/>
      <w:kern w:val="0"/>
      <w:lang w:eastAsia="ru-RU"/>
    </w:rPr>
  </w:style>
  <w:style w:type="character" w:customStyle="1" w:styleId="748">
    <w:name w:val="TEXT Знак"/>
    <w:basedOn w:val="11"/>
    <w:link w:val="747"/>
    <w:uiPriority w:val="0"/>
    <w:rPr>
      <w:rFonts w:eastAsia="Times New Roman"/>
      <w:snapToGrid w:val="0"/>
      <w:sz w:val="24"/>
      <w:szCs w:val="24"/>
    </w:rPr>
  </w:style>
  <w:style w:type="paragraph" w:customStyle="1" w:styleId="749">
    <w:name w:val="S_Титульный"/>
    <w:basedOn w:val="1"/>
    <w:uiPriority w:val="0"/>
    <w:pPr>
      <w:spacing w:after="0" w:line="360" w:lineRule="auto"/>
      <w:ind w:left="3240"/>
      <w:jc w:val="right"/>
    </w:pPr>
    <w:rPr>
      <w:rFonts w:eastAsia="Times New Roman"/>
      <w:b/>
      <w:kern w:val="0"/>
      <w:sz w:val="32"/>
      <w:szCs w:val="32"/>
      <w:lang w:eastAsia="ru-RU"/>
    </w:rPr>
  </w:style>
  <w:style w:type="character" w:customStyle="1" w:styleId="750">
    <w:name w:val="Название объекта Знак2"/>
    <w:locked/>
    <w:uiPriority w:val="0"/>
    <w:rPr>
      <w:b/>
      <w:bCs/>
      <w:sz w:val="22"/>
    </w:rPr>
  </w:style>
  <w:style w:type="paragraph" w:customStyle="1" w:styleId="751">
    <w:name w:val="Табличный_нумерованный_10"/>
    <w:basedOn w:val="1"/>
    <w:qFormat/>
    <w:uiPriority w:val="0"/>
    <w:pPr>
      <w:numPr>
        <w:ilvl w:val="0"/>
        <w:numId w:val="15"/>
      </w:numPr>
      <w:spacing w:after="0" w:line="240" w:lineRule="auto"/>
    </w:pPr>
    <w:rPr>
      <w:rFonts w:eastAsia="Times New Roman"/>
      <w:kern w:val="0"/>
      <w:sz w:val="20"/>
      <w:lang w:eastAsia="ru-RU"/>
    </w:rPr>
  </w:style>
  <w:style w:type="paragraph" w:customStyle="1" w:styleId="752">
    <w:name w:val="Табличный_центр_10"/>
    <w:basedOn w:val="1"/>
    <w:qFormat/>
    <w:uiPriority w:val="0"/>
    <w:pPr>
      <w:spacing w:after="0" w:line="240" w:lineRule="auto"/>
      <w:jc w:val="center"/>
    </w:pPr>
    <w:rPr>
      <w:rFonts w:eastAsia="Times New Roman"/>
      <w:kern w:val="0"/>
      <w:sz w:val="20"/>
      <w:lang w:eastAsia="ru-RU"/>
    </w:rPr>
  </w:style>
  <w:style w:type="paragraph" w:customStyle="1" w:styleId="753">
    <w:name w:val="Табличный_слева_10"/>
    <w:basedOn w:val="1"/>
    <w:qFormat/>
    <w:uiPriority w:val="0"/>
    <w:pPr>
      <w:spacing w:after="0" w:line="240" w:lineRule="auto"/>
    </w:pPr>
    <w:rPr>
      <w:rFonts w:eastAsia="Times New Roman"/>
      <w:kern w:val="0"/>
      <w:sz w:val="20"/>
      <w:lang w:eastAsia="ru-RU"/>
    </w:rPr>
  </w:style>
  <w:style w:type="paragraph" w:customStyle="1" w:styleId="754">
    <w:name w:val="Табличный_по ширине_10"/>
    <w:basedOn w:val="1"/>
    <w:qFormat/>
    <w:uiPriority w:val="0"/>
    <w:pPr>
      <w:spacing w:after="0" w:line="240" w:lineRule="auto"/>
      <w:jc w:val="both"/>
    </w:pPr>
    <w:rPr>
      <w:rFonts w:eastAsia="Times New Roman"/>
      <w:kern w:val="0"/>
      <w:sz w:val="20"/>
      <w:lang w:eastAsia="ru-RU"/>
    </w:rPr>
  </w:style>
  <w:style w:type="paragraph" w:customStyle="1" w:styleId="755">
    <w:name w:val="Табличный_заголовки_10"/>
    <w:basedOn w:val="282"/>
    <w:qFormat/>
    <w:uiPriority w:val="0"/>
    <w:pPr>
      <w:suppressAutoHyphens w:val="0"/>
      <w:spacing w:before="120" w:after="60" w:line="240" w:lineRule="auto"/>
      <w:ind w:firstLine="567"/>
      <w:jc w:val="center"/>
    </w:pPr>
    <w:rPr>
      <w:b/>
      <w:sz w:val="20"/>
      <w:szCs w:val="24"/>
      <w:lang w:eastAsia="ru-RU"/>
    </w:rPr>
  </w:style>
  <w:style w:type="character" w:customStyle="1" w:styleId="756">
    <w:name w:val="Шапка Знак"/>
    <w:basedOn w:val="11"/>
    <w:link w:val="94"/>
    <w:uiPriority w:val="0"/>
    <w:rPr>
      <w:rFonts w:ascii="Arial" w:hAnsi="Arial" w:eastAsia="Times New Roman"/>
      <w:sz w:val="22"/>
      <w:szCs w:val="22"/>
      <w:lang w:eastAsia="en-US"/>
    </w:rPr>
  </w:style>
  <w:style w:type="character" w:customStyle="1" w:styleId="757">
    <w:name w:val="Адрес HTML Знак"/>
    <w:basedOn w:val="11"/>
    <w:link w:val="51"/>
    <w:uiPriority w:val="0"/>
    <w:rPr>
      <w:rFonts w:ascii="Arial" w:hAnsi="Arial" w:eastAsia="Times New Roman"/>
      <w:i/>
      <w:iCs/>
      <w:spacing w:val="-5"/>
      <w:lang w:eastAsia="en-US"/>
    </w:rPr>
  </w:style>
  <w:style w:type="character" w:customStyle="1" w:styleId="758">
    <w:name w:val="Дата Знак"/>
    <w:basedOn w:val="11"/>
    <w:link w:val="67"/>
    <w:uiPriority w:val="0"/>
    <w:rPr>
      <w:rFonts w:ascii="Arial" w:hAnsi="Arial" w:eastAsia="Times New Roman"/>
      <w:spacing w:val="-5"/>
      <w:lang w:eastAsia="en-US"/>
    </w:rPr>
  </w:style>
  <w:style w:type="character" w:customStyle="1" w:styleId="759">
    <w:name w:val="Заголовок записки Знак"/>
    <w:basedOn w:val="11"/>
    <w:link w:val="66"/>
    <w:uiPriority w:val="0"/>
    <w:rPr>
      <w:rFonts w:ascii="Arial" w:hAnsi="Arial" w:eastAsia="Times New Roman"/>
      <w:spacing w:val="-5"/>
      <w:lang w:eastAsia="en-US"/>
    </w:rPr>
  </w:style>
  <w:style w:type="character" w:customStyle="1" w:styleId="760">
    <w:name w:val="Подпись Знак"/>
    <w:basedOn w:val="11"/>
    <w:link w:val="83"/>
    <w:uiPriority w:val="0"/>
    <w:rPr>
      <w:rFonts w:ascii="Arial" w:hAnsi="Arial" w:eastAsia="Times New Roman"/>
      <w:spacing w:val="-5"/>
      <w:lang w:eastAsia="en-US"/>
    </w:rPr>
  </w:style>
  <w:style w:type="character" w:customStyle="1" w:styleId="761">
    <w:name w:val="Приветствие Знак"/>
    <w:basedOn w:val="11"/>
    <w:link w:val="84"/>
    <w:uiPriority w:val="0"/>
    <w:rPr>
      <w:rFonts w:ascii="Arial" w:hAnsi="Arial" w:eastAsia="Times New Roman"/>
      <w:spacing w:val="-5"/>
      <w:lang w:eastAsia="en-US"/>
    </w:rPr>
  </w:style>
  <w:style w:type="character" w:customStyle="1" w:styleId="762">
    <w:name w:val="Прощание Знак"/>
    <w:basedOn w:val="11"/>
    <w:link w:val="37"/>
    <w:uiPriority w:val="0"/>
    <w:rPr>
      <w:rFonts w:ascii="Arial" w:hAnsi="Arial" w:eastAsia="Times New Roman"/>
      <w:spacing w:val="-5"/>
      <w:lang w:eastAsia="en-US"/>
    </w:rPr>
  </w:style>
  <w:style w:type="character" w:customStyle="1" w:styleId="763">
    <w:name w:val="Электронная подпись Знак"/>
    <w:basedOn w:val="11"/>
    <w:link w:val="95"/>
    <w:uiPriority w:val="0"/>
    <w:rPr>
      <w:rFonts w:ascii="Arial" w:hAnsi="Arial" w:eastAsia="Times New Roman"/>
      <w:spacing w:val="-5"/>
      <w:lang w:eastAsia="en-US"/>
    </w:rPr>
  </w:style>
  <w:style w:type="paragraph" w:customStyle="1" w:styleId="764">
    <w:name w:val="Îáû÷íûé"/>
    <w:uiPriority w:val="0"/>
    <w:pPr>
      <w:spacing w:after="160" w:line="259" w:lineRule="auto"/>
    </w:pPr>
    <w:rPr>
      <w:rFonts w:ascii="Times New Roman" w:hAnsi="Times New Roman" w:eastAsia="Times New Roman" w:cs="Times New Roman"/>
      <w:sz w:val="28"/>
      <w:lang w:val="ru-RU" w:eastAsia="ru-RU" w:bidi="ar-SA"/>
    </w:rPr>
  </w:style>
  <w:style w:type="character" w:customStyle="1" w:styleId="765">
    <w:name w:val="S_Обычный Знак"/>
    <w:link w:val="318"/>
    <w:uiPriority w:val="0"/>
    <w:rPr>
      <w:rFonts w:eastAsia="Times New Roman"/>
      <w:sz w:val="24"/>
      <w:szCs w:val="24"/>
      <w:lang w:eastAsia="ar-SA"/>
    </w:rPr>
  </w:style>
  <w:style w:type="paragraph" w:customStyle="1" w:styleId="766">
    <w:name w:val="ТЕКСТ ГРАД"/>
    <w:basedOn w:val="1"/>
    <w:link w:val="767"/>
    <w:qFormat/>
    <w:uiPriority w:val="0"/>
    <w:pPr>
      <w:spacing w:after="0" w:line="360" w:lineRule="auto"/>
      <w:ind w:firstLine="709"/>
      <w:jc w:val="both"/>
    </w:pPr>
    <w:rPr>
      <w:rFonts w:eastAsia="Times New Roman"/>
      <w:kern w:val="0"/>
    </w:rPr>
  </w:style>
  <w:style w:type="character" w:customStyle="1" w:styleId="767">
    <w:name w:val="ТЕКСТ ГРАД Знак"/>
    <w:link w:val="766"/>
    <w:uiPriority w:val="0"/>
    <w:rPr>
      <w:rFonts w:eastAsia="Times New Roman"/>
      <w:sz w:val="24"/>
      <w:szCs w:val="24"/>
    </w:rPr>
  </w:style>
  <w:style w:type="paragraph" w:customStyle="1" w:styleId="768">
    <w:name w:val="ООО  «Институт Территориального Планирования"/>
    <w:basedOn w:val="1"/>
    <w:link w:val="769"/>
    <w:qFormat/>
    <w:uiPriority w:val="0"/>
    <w:pPr>
      <w:spacing w:after="0" w:line="360" w:lineRule="auto"/>
      <w:ind w:left="709"/>
      <w:jc w:val="right"/>
    </w:pPr>
    <w:rPr>
      <w:rFonts w:eastAsia="Times New Roman"/>
      <w:kern w:val="0"/>
    </w:rPr>
  </w:style>
  <w:style w:type="character" w:customStyle="1" w:styleId="769">
    <w:name w:val="ООО  «Институт Территориального Планирования Знак"/>
    <w:link w:val="768"/>
    <w:uiPriority w:val="0"/>
    <w:rPr>
      <w:rFonts w:eastAsia="Times New Roman"/>
      <w:sz w:val="24"/>
      <w:szCs w:val="24"/>
    </w:rPr>
  </w:style>
  <w:style w:type="character" w:customStyle="1" w:styleId="770">
    <w:name w:val="Заголовок 1 Знак1"/>
    <w:uiPriority w:val="0"/>
    <w:rPr>
      <w:rFonts w:ascii="Cambria" w:hAnsi="Cambria" w:eastAsia="Times New Roman" w:cs="Times New Roman"/>
      <w:b/>
      <w:bCs/>
      <w:color w:val="365F91"/>
      <w:sz w:val="28"/>
      <w:szCs w:val="28"/>
    </w:rPr>
  </w:style>
  <w:style w:type="character" w:customStyle="1" w:styleId="771">
    <w:name w:val="Текст сноски Знак Знак Знак Знак Знак1"/>
    <w:uiPriority w:val="99"/>
  </w:style>
  <w:style w:type="character" w:customStyle="1" w:styleId="772">
    <w:name w:val="Верхний колонтитул Знак1"/>
    <w:semiHidden/>
    <w:uiPriority w:val="0"/>
    <w:rPr>
      <w:sz w:val="24"/>
      <w:szCs w:val="24"/>
    </w:rPr>
  </w:style>
  <w:style w:type="character" w:customStyle="1" w:styleId="773">
    <w:name w:val="Нижний колонтитул Знак1"/>
    <w:semiHidden/>
    <w:uiPriority w:val="0"/>
    <w:rPr>
      <w:sz w:val="24"/>
      <w:szCs w:val="24"/>
    </w:rPr>
  </w:style>
  <w:style w:type="character" w:customStyle="1" w:styleId="774">
    <w:name w:val="Текст выноски Знак1"/>
    <w:semiHidden/>
    <w:uiPriority w:val="99"/>
    <w:rPr>
      <w:rFonts w:ascii="Tahoma" w:hAnsi="Tahoma" w:cs="Tahoma"/>
      <w:sz w:val="16"/>
      <w:szCs w:val="16"/>
    </w:rPr>
  </w:style>
  <w:style w:type="paragraph" w:customStyle="1" w:styleId="775">
    <w:name w:val="Стиль S_Маркированный + Междустр.интервал:  полуторный"/>
    <w:basedOn w:val="591"/>
    <w:uiPriority w:val="0"/>
    <w:pPr>
      <w:widowControl w:val="0"/>
      <w:numPr>
        <w:ilvl w:val="0"/>
        <w:numId w:val="0"/>
      </w:numPr>
      <w:tabs>
        <w:tab w:val="left" w:pos="900"/>
        <w:tab w:val="clear" w:pos="1260"/>
      </w:tabs>
      <w:autoSpaceDE w:val="0"/>
      <w:autoSpaceDN w:val="0"/>
      <w:adjustRightInd w:val="0"/>
      <w:spacing w:line="240" w:lineRule="auto"/>
      <w:ind w:left="284"/>
    </w:pPr>
    <w:rPr>
      <w:sz w:val="20"/>
      <w:szCs w:val="20"/>
    </w:rPr>
  </w:style>
  <w:style w:type="paragraph" w:customStyle="1" w:styleId="776">
    <w:name w:val="S_рисунок"/>
    <w:basedOn w:val="1"/>
    <w:qFormat/>
    <w:uiPriority w:val="0"/>
    <w:pPr>
      <w:numPr>
        <w:ilvl w:val="0"/>
        <w:numId w:val="16"/>
      </w:numPr>
      <w:tabs>
        <w:tab w:val="left" w:pos="1069"/>
        <w:tab w:val="clear" w:pos="2149"/>
      </w:tabs>
      <w:spacing w:after="0" w:line="360" w:lineRule="auto"/>
      <w:ind w:left="1069"/>
      <w:jc w:val="right"/>
    </w:pPr>
    <w:rPr>
      <w:rFonts w:eastAsia="Times New Roman"/>
      <w:kern w:val="0"/>
      <w:lang w:eastAsia="ru-RU"/>
    </w:rPr>
  </w:style>
  <w:style w:type="paragraph" w:customStyle="1" w:styleId="777">
    <w:name w:val="- S_Маркированный"/>
    <w:basedOn w:val="1"/>
    <w:uiPriority w:val="0"/>
    <w:pPr>
      <w:spacing w:after="0" w:line="240" w:lineRule="auto"/>
      <w:ind w:left="284"/>
    </w:pPr>
    <w:rPr>
      <w:rFonts w:eastAsia="Times New Roman"/>
      <w:b/>
      <w:color w:val="76923C"/>
      <w:kern w:val="0"/>
      <w:lang w:eastAsia="ru-RU"/>
    </w:rPr>
  </w:style>
  <w:style w:type="paragraph" w:customStyle="1" w:styleId="778">
    <w:name w:val="S_Маркированный+Обычный"/>
    <w:basedOn w:val="69"/>
    <w:uiPriority w:val="0"/>
    <w:pPr>
      <w:widowControl/>
      <w:numPr>
        <w:ilvl w:val="0"/>
        <w:numId w:val="0"/>
      </w:numPr>
      <w:autoSpaceDE/>
      <w:autoSpaceDN/>
      <w:adjustRightInd/>
      <w:spacing w:before="0" w:line="360" w:lineRule="auto"/>
      <w:jc w:val="center"/>
    </w:pPr>
    <w:rPr>
      <w:rFonts w:eastAsia="Times New Roman"/>
      <w:w w:val="109"/>
      <w:sz w:val="24"/>
      <w:szCs w:val="24"/>
      <w:lang w:eastAsia="ru-RU"/>
    </w:rPr>
  </w:style>
  <w:style w:type="paragraph" w:customStyle="1" w:styleId="779">
    <w:name w:val="S_Обычный Знак Знак Знак Знак"/>
    <w:basedOn w:val="1"/>
    <w:link w:val="780"/>
    <w:uiPriority w:val="0"/>
    <w:pPr>
      <w:spacing w:after="0" w:line="360" w:lineRule="auto"/>
      <w:ind w:firstLine="709"/>
      <w:jc w:val="both"/>
    </w:pPr>
    <w:rPr>
      <w:rFonts w:eastAsia="Times New Roman"/>
      <w:kern w:val="0"/>
    </w:rPr>
  </w:style>
  <w:style w:type="character" w:customStyle="1" w:styleId="780">
    <w:name w:val="S_Обычный Знак Знак Знак Знак Знак"/>
    <w:link w:val="779"/>
    <w:uiPriority w:val="0"/>
    <w:rPr>
      <w:rFonts w:eastAsia="Times New Roman"/>
      <w:sz w:val="24"/>
      <w:szCs w:val="24"/>
    </w:rPr>
  </w:style>
  <w:style w:type="paragraph" w:customStyle="1" w:styleId="781">
    <w:name w:val="Стиль S_Маркированный+Обычный + Междустр.интервал:  полуторный"/>
    <w:basedOn w:val="778"/>
    <w:uiPriority w:val="0"/>
    <w:pPr>
      <w:tabs>
        <w:tab w:val="left" w:pos="851"/>
      </w:tabs>
      <w:ind w:firstLine="284"/>
      <w:jc w:val="left"/>
    </w:pPr>
    <w:rPr>
      <w:w w:val="100"/>
      <w:szCs w:val="20"/>
    </w:rPr>
  </w:style>
  <w:style w:type="paragraph" w:customStyle="1" w:styleId="782">
    <w:name w:val="S_Обычный_Жирный"/>
    <w:basedOn w:val="1"/>
    <w:uiPriority w:val="0"/>
    <w:pPr>
      <w:spacing w:after="0" w:line="360" w:lineRule="auto"/>
      <w:ind w:firstLine="1259"/>
      <w:jc w:val="both"/>
    </w:pPr>
    <w:rPr>
      <w:rFonts w:eastAsia="Times New Roman"/>
      <w:kern w:val="0"/>
      <w:lang w:eastAsia="ru-RU"/>
    </w:rPr>
  </w:style>
  <w:style w:type="paragraph" w:customStyle="1" w:styleId="783">
    <w:name w:val="Стиль S_Заголовок 2 + не полужирный"/>
    <w:basedOn w:val="320"/>
    <w:uiPriority w:val="0"/>
    <w:pPr>
      <w:tabs>
        <w:tab w:val="clear" w:pos="576"/>
      </w:tabs>
      <w:spacing w:line="360" w:lineRule="auto"/>
      <w:ind w:left="0" w:firstLine="0"/>
    </w:pPr>
  </w:style>
  <w:style w:type="paragraph" w:customStyle="1" w:styleId="784">
    <w:name w:val="S_Маркированный+Обычеый"/>
    <w:basedOn w:val="69"/>
    <w:uiPriority w:val="0"/>
    <w:pPr>
      <w:widowControl/>
      <w:numPr>
        <w:ilvl w:val="0"/>
        <w:numId w:val="17"/>
      </w:numPr>
      <w:autoSpaceDE/>
      <w:autoSpaceDN/>
      <w:adjustRightInd/>
      <w:spacing w:before="0" w:line="360" w:lineRule="auto"/>
    </w:pPr>
    <w:rPr>
      <w:rFonts w:eastAsia="Times New Roman"/>
      <w:w w:val="109"/>
      <w:sz w:val="24"/>
      <w:szCs w:val="24"/>
      <w:lang w:eastAsia="ru-RU"/>
    </w:rPr>
  </w:style>
  <w:style w:type="paragraph" w:customStyle="1" w:styleId="785">
    <w:name w:val="Заголовок оглавления11"/>
    <w:basedOn w:val="2"/>
    <w:next w:val="1"/>
    <w:qFormat/>
    <w:uiPriority w:val="39"/>
    <w:pPr>
      <w:keepLines/>
      <w:tabs>
        <w:tab w:val="left" w:pos="935"/>
      </w:tabs>
      <w:spacing w:before="480" w:after="0"/>
      <w:ind w:left="935"/>
      <w:outlineLvl w:val="9"/>
    </w:pPr>
    <w:rPr>
      <w:rFonts w:ascii="Cambria" w:hAnsi="Cambria"/>
      <w:color w:val="365F91"/>
      <w:kern w:val="0"/>
      <w:sz w:val="28"/>
      <w:szCs w:val="28"/>
    </w:rPr>
  </w:style>
  <w:style w:type="paragraph" w:customStyle="1" w:styleId="786">
    <w:name w:val="Style50"/>
    <w:basedOn w:val="1"/>
    <w:uiPriority w:val="99"/>
    <w:pPr>
      <w:widowControl w:val="0"/>
      <w:autoSpaceDE w:val="0"/>
      <w:autoSpaceDN w:val="0"/>
      <w:adjustRightInd w:val="0"/>
      <w:spacing w:after="0" w:line="264" w:lineRule="exact"/>
      <w:ind w:firstLine="706"/>
      <w:jc w:val="both"/>
    </w:pPr>
    <w:rPr>
      <w:rFonts w:ascii="Arial Narrow" w:hAnsi="Arial Narrow" w:eastAsia="Times New Roman"/>
      <w:kern w:val="0"/>
      <w:lang w:eastAsia="ru-RU"/>
    </w:rPr>
  </w:style>
  <w:style w:type="paragraph" w:customStyle="1" w:styleId="787">
    <w:name w:val="Примечание"/>
    <w:next w:val="1"/>
    <w:uiPriority w:val="0"/>
    <w:pPr>
      <w:widowControl w:val="0"/>
      <w:tabs>
        <w:tab w:val="left" w:pos="1491"/>
      </w:tabs>
      <w:spacing w:before="120" w:after="160" w:line="259" w:lineRule="auto"/>
      <w:ind w:left="1491" w:hanging="1491"/>
      <w:jc w:val="both"/>
    </w:pPr>
    <w:rPr>
      <w:rFonts w:ascii="Times New Roman" w:hAnsi="Times New Roman" w:eastAsia="Times New Roman" w:cs="Times New Roman"/>
      <w:lang w:val="ru-RU" w:eastAsia="ru-RU" w:bidi="ar-SA"/>
    </w:rPr>
  </w:style>
  <w:style w:type="paragraph" w:customStyle="1" w:styleId="788">
    <w:name w:val="Основной текст продолжение"/>
    <w:basedOn w:val="1"/>
    <w:next w:val="56"/>
    <w:link w:val="791"/>
    <w:uiPriority w:val="0"/>
    <w:pPr>
      <w:spacing w:before="120" w:after="0" w:line="240" w:lineRule="auto"/>
      <w:ind w:firstLine="709"/>
      <w:jc w:val="both"/>
    </w:pPr>
    <w:rPr>
      <w:rFonts w:eastAsia="Times New Roman"/>
      <w:kern w:val="0"/>
      <w:szCs w:val="20"/>
    </w:rPr>
  </w:style>
  <w:style w:type="paragraph" w:customStyle="1" w:styleId="789">
    <w:name w:val="табл_строка"/>
    <w:basedOn w:val="1"/>
    <w:link w:val="793"/>
    <w:uiPriority w:val="0"/>
    <w:pPr>
      <w:spacing w:before="120" w:after="0" w:line="240" w:lineRule="auto"/>
      <w:jc w:val="center"/>
    </w:pPr>
    <w:rPr>
      <w:rFonts w:eastAsia="Times New Roman"/>
      <w:kern w:val="0"/>
      <w:szCs w:val="20"/>
    </w:rPr>
  </w:style>
  <w:style w:type="paragraph" w:customStyle="1" w:styleId="790">
    <w:name w:val="табл_заголовок"/>
    <w:link w:val="792"/>
    <w:uiPriority w:val="0"/>
    <w:pPr>
      <w:keepNext/>
      <w:keepLines/>
      <w:spacing w:after="160" w:line="259" w:lineRule="auto"/>
      <w:jc w:val="center"/>
    </w:pPr>
    <w:rPr>
      <w:rFonts w:ascii="Times New Roman" w:hAnsi="Times New Roman" w:eastAsia="Times New Roman" w:cs="Times New Roman"/>
      <w:sz w:val="24"/>
      <w:lang w:val="ru-RU" w:eastAsia="ru-RU" w:bidi="ar-SA"/>
    </w:rPr>
  </w:style>
  <w:style w:type="character" w:customStyle="1" w:styleId="791">
    <w:name w:val="Основной текст продолжение Знак1"/>
    <w:link w:val="788"/>
    <w:uiPriority w:val="0"/>
    <w:rPr>
      <w:rFonts w:eastAsia="Times New Roman"/>
      <w:sz w:val="24"/>
    </w:rPr>
  </w:style>
  <w:style w:type="character" w:customStyle="1" w:styleId="792">
    <w:name w:val="табл_заголовок Знак"/>
    <w:link w:val="790"/>
    <w:uiPriority w:val="0"/>
    <w:rPr>
      <w:rFonts w:eastAsia="Times New Roman"/>
      <w:sz w:val="24"/>
    </w:rPr>
  </w:style>
  <w:style w:type="character" w:customStyle="1" w:styleId="793">
    <w:name w:val="табл_строка Знак"/>
    <w:link w:val="789"/>
    <w:uiPriority w:val="0"/>
    <w:rPr>
      <w:rFonts w:eastAsia="Times New Roman"/>
      <w:sz w:val="24"/>
    </w:rPr>
  </w:style>
  <w:style w:type="character" w:customStyle="1" w:styleId="794">
    <w:name w:val="Font Style77"/>
    <w:uiPriority w:val="99"/>
    <w:rPr>
      <w:rFonts w:ascii="Times New Roman" w:hAnsi="Times New Roman" w:cs="Times New Roman"/>
      <w:b/>
      <w:bCs/>
      <w:sz w:val="20"/>
      <w:szCs w:val="20"/>
    </w:rPr>
  </w:style>
  <w:style w:type="paragraph" w:customStyle="1" w:styleId="795">
    <w:name w:val="Char Char Знак Знак1 Char Char1 Знак Знак Char Char"/>
    <w:basedOn w:val="1"/>
    <w:uiPriority w:val="99"/>
    <w:pPr>
      <w:spacing w:before="100" w:beforeAutospacing="1" w:after="100" w:afterAutospacing="1" w:line="240" w:lineRule="auto"/>
    </w:pPr>
    <w:rPr>
      <w:rFonts w:ascii="Tahoma" w:hAnsi="Tahoma" w:eastAsia="Times New Roman" w:cs="Tahoma"/>
      <w:kern w:val="0"/>
      <w:sz w:val="20"/>
      <w:szCs w:val="20"/>
      <w:lang w:val="en-US"/>
    </w:rPr>
  </w:style>
  <w:style w:type="table" w:customStyle="1" w:styleId="796">
    <w:name w:val="Средняя заливка 2 - Акцент 51"/>
    <w:basedOn w:val="12"/>
    <w:uiPriority w:val="64"/>
    <w:rPr>
      <w:rFonts w:ascii="Calibri" w:hAnsi="Calibri" w:eastAsia="Times New Roman"/>
      <w:sz w:val="22"/>
      <w:szCs w:val="22"/>
      <w:lang w:eastAsia="en-US"/>
    </w:rPr>
    <w:tblPr>
      <w:tblBorders>
        <w:top w:val="single" w:color="auto" w:sz="18" w:space="0"/>
        <w:bottom w:val="single" w:color="auto" w:sz="18" w:space="0"/>
      </w:tblBorders>
    </w:tblPr>
    <w:tblStylePr w:type="firstRow">
      <w:pPr>
        <w:spacing w:before="0" w:after="0" w:line="240" w:lineRule="auto"/>
      </w:pPr>
      <w:rPr>
        <w:b/>
        <w:bCs/>
        <w:color w:val="F4F4F4"/>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tcPr>
        <w:tcBorders>
          <w:top w:val="double" w:color="auto" w:sz="6" w:space="0"/>
          <w:left w:val="nil"/>
          <w:bottom w:val="single" w:color="auto" w:sz="18" w:space="0"/>
          <w:right w:val="nil"/>
          <w:insideH w:val="nil"/>
          <w:insideV w:val="nil"/>
        </w:tcBorders>
        <w:shd w:val="clear" w:color="auto" w:fill="F4F4F4"/>
      </w:tcPr>
    </w:tblStylePr>
    <w:tblStylePr w:type="firstCol">
      <w:rPr>
        <w:b/>
        <w:bCs/>
        <w:color w:val="F4F4F4"/>
      </w:rPr>
      <w:tcPr>
        <w:tcBorders>
          <w:top w:val="nil"/>
          <w:left w:val="nil"/>
          <w:bottom w:val="single" w:color="auto" w:sz="18" w:space="0"/>
          <w:right w:val="nil"/>
          <w:insideH w:val="nil"/>
          <w:insideV w:val="nil"/>
        </w:tcBorders>
        <w:shd w:val="clear" w:color="auto" w:fill="4BACC6"/>
      </w:tcPr>
    </w:tblStylePr>
    <w:tblStylePr w:type="lastCol">
      <w:rPr>
        <w:b/>
        <w:bCs/>
        <w:color w:val="F4F4F4"/>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CECECE"/>
      </w:tcPr>
    </w:tblStylePr>
    <w:tblStylePr w:type="band1Horz">
      <w:tcPr>
        <w:shd w:val="clear" w:color="auto" w:fill="CECECE"/>
      </w:tcPr>
    </w:tblStylePr>
    <w:tblStylePr w:type="neCell">
      <w:tcPr>
        <w:tcBorders>
          <w:top w:val="single" w:color="auto" w:sz="18" w:space="0"/>
          <w:left w:val="nil"/>
          <w:bottom w:val="single" w:color="auto" w:sz="18" w:space="0"/>
          <w:right w:val="nil"/>
          <w:insideH w:val="nil"/>
          <w:insideV w:val="nil"/>
        </w:tcBorders>
      </w:tcPr>
    </w:tblStylePr>
    <w:tblStylePr w:type="nwCell">
      <w:rPr>
        <w:color w:val="F4F4F4"/>
      </w:rPr>
      <w:tcPr>
        <w:tcBorders>
          <w:top w:val="single" w:color="auto" w:sz="18" w:space="0"/>
          <w:left w:val="nil"/>
          <w:bottom w:val="single" w:color="auto" w:sz="18" w:space="0"/>
          <w:right w:val="nil"/>
          <w:insideH w:val="nil"/>
          <w:insideV w:val="nil"/>
        </w:tcBorders>
      </w:tcPr>
    </w:tblStylePr>
  </w:style>
  <w:style w:type="paragraph" w:customStyle="1" w:styleId="797">
    <w:name w:val="ConsPlusDocList"/>
    <w:uiPriority w:val="99"/>
    <w:pPr>
      <w:autoSpaceDE w:val="0"/>
      <w:autoSpaceDN w:val="0"/>
      <w:adjustRightInd w:val="0"/>
      <w:spacing w:after="160" w:line="259" w:lineRule="auto"/>
    </w:pPr>
    <w:rPr>
      <w:rFonts w:ascii="Courier New" w:hAnsi="Courier New" w:eastAsia="Times New Roman" w:cs="Courier New"/>
      <w:lang w:val="ru-RU" w:eastAsia="ru-RU" w:bidi="ar-SA"/>
    </w:rPr>
  </w:style>
  <w:style w:type="character" w:customStyle="1" w:styleId="798">
    <w:name w:val="S_Маркированный Знак"/>
    <w:uiPriority w:val="0"/>
    <w:rPr>
      <w:b/>
      <w:caps/>
      <w:w w:val="109"/>
    </w:rPr>
  </w:style>
  <w:style w:type="paragraph" w:customStyle="1" w:styleId="799">
    <w:name w:val="ГРАД Табличный текст (ширина)"/>
    <w:basedOn w:val="1"/>
    <w:uiPriority w:val="0"/>
    <w:pPr>
      <w:tabs>
        <w:tab w:val="left" w:pos="540"/>
      </w:tabs>
      <w:spacing w:after="0" w:line="240" w:lineRule="auto"/>
      <w:jc w:val="both"/>
    </w:pPr>
    <w:rPr>
      <w:rFonts w:eastAsia="Times New Roman"/>
      <w:b/>
      <w:bCs/>
      <w:color w:val="000000"/>
      <w:spacing w:val="4"/>
      <w:kern w:val="0"/>
      <w:sz w:val="20"/>
      <w:szCs w:val="28"/>
      <w:lang w:eastAsia="ru-RU"/>
    </w:rPr>
  </w:style>
  <w:style w:type="character" w:customStyle="1" w:styleId="800">
    <w:name w:val="Основной текст (2)_"/>
    <w:basedOn w:val="11"/>
    <w:link w:val="372"/>
    <w:uiPriority w:val="0"/>
    <w:rPr>
      <w:rFonts w:ascii="Times New Roman" w:hAnsi="Times New Roman" w:eastAsia="Times New Roman" w:cs="Times New Roman"/>
      <w:kern w:val="3"/>
      <w:sz w:val="28"/>
      <w:szCs w:val="28"/>
      <w:lang w:eastAsia="zh-CN"/>
    </w:rPr>
  </w:style>
  <w:style w:type="character" w:customStyle="1" w:styleId="801">
    <w:name w:val="Основной текст (2) + Calibri;8 pt"/>
    <w:basedOn w:val="800"/>
    <w:uiPriority w:val="0"/>
    <w:rPr>
      <w:rFonts w:ascii="Calibri" w:hAnsi="Calibri" w:eastAsia="Calibri" w:cs="Calibri"/>
      <w:color w:val="000000"/>
      <w:spacing w:val="0"/>
      <w:w w:val="100"/>
      <w:kern w:val="3"/>
      <w:position w:val="0"/>
      <w:sz w:val="16"/>
      <w:szCs w:val="16"/>
      <w:lang w:val="ru-RU" w:eastAsia="ru-RU" w:bidi="ru-RU"/>
    </w:rPr>
  </w:style>
  <w:style w:type="paragraph" w:customStyle="1" w:styleId="802">
    <w:name w:val="Обычный_IG Знак Знак Знак"/>
    <w:basedOn w:val="1"/>
    <w:uiPriority w:val="0"/>
    <w:pPr>
      <w:spacing w:after="0" w:line="360" w:lineRule="auto"/>
      <w:ind w:firstLine="709"/>
      <w:jc w:val="both"/>
    </w:pPr>
    <w:rPr>
      <w:rFonts w:eastAsia="Times New Roman"/>
      <w:kern w:val="0"/>
      <w:sz w:val="28"/>
      <w:szCs w:val="28"/>
      <w:lang w:eastAsia="ru-RU"/>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wmf"/><Relationship Id="rId12" Type="http://schemas.openxmlformats.org/officeDocument/2006/relationships/oleObject" Target="embeddings/oleObject1.bin"/><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3"/>
    <customShpInfo spid="_x0000_s1034"/>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20FD63-D042-48A9-BEBA-BA5B0AE5E504}">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108</Pages>
  <Words>25261</Words>
  <Characters>143989</Characters>
  <Lines>1199</Lines>
  <Paragraphs>337</Paragraphs>
  <TotalTime>10</TotalTime>
  <ScaleCrop>false</ScaleCrop>
  <LinksUpToDate>false</LinksUpToDate>
  <CharactersWithSpaces>168913</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2019-09-05T14:25:00Z</dcterms:created>
  <dc:creator>Пользователь</dc:creator>
  <cp:lastModifiedBy>277</cp:lastModifiedBy>
  <cp:lastPrinted>2019-09-10T07:40:00Z</cp:lastPrinted>
  <dcterms:modified xsi:type="dcterms:W3CDTF">2022-04-11T08:02:33Z</dcterms:modified>
  <cp:revision>254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B93E5D4997BD47C9BAC698417A4E19C1</vt:lpwstr>
  </property>
</Properties>
</file>